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500" w:type="dxa"/>
        <w:tblInd w:w="109" w:type="dxa"/>
        <w:tblLook w:val="04A0" w:firstRow="1" w:lastRow="0" w:firstColumn="1" w:lastColumn="0" w:noHBand="0" w:noVBand="1"/>
      </w:tblPr>
      <w:tblGrid>
        <w:gridCol w:w="5500"/>
        <w:gridCol w:w="4000"/>
      </w:tblGrid>
      <w:tr w:rsidR="00982D1A" w:rsidTr="0098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0" w:type="dxa"/>
          </w:tcPr>
          <w:p w:rsidR="00982D1A" w:rsidRDefault="00982D1A" w:rsidP="00D477A9">
            <w:r>
              <w:t>Smithers Solicitors LLP</w:t>
            </w:r>
            <w:r>
              <w:br/>
              <w:t>123 King Street</w:t>
            </w:r>
            <w:r>
              <w:br/>
              <w:t>Luton</w:t>
            </w:r>
            <w:r>
              <w:br/>
              <w:t>Bedford</w:t>
            </w:r>
            <w:r>
              <w:br/>
              <w:t>LU1 2VZ</w:t>
            </w:r>
          </w:p>
        </w:tc>
        <w:tc>
          <w:tcPr>
            <w:tcW w:w="4000" w:type="dxa"/>
          </w:tcPr>
          <w:p w:rsidR="00982D1A" w:rsidRDefault="00982D1A" w:rsidP="00D477A9">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2F15C06" wp14:editId="6064317D">
                  <wp:extent cx="1664795" cy="982013"/>
                  <wp:effectExtent l="0" t="0" r="0" b="0"/>
                  <wp:docPr id="2" name="Picture 2"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sign with a scale&#10;&#10;AI-generated content may be incorrect."/>
                          <pic:cNvPicPr>
                            <a:picLocks noChangeAspect="1" noChangeArrowheads="1"/>
                          </pic:cNvPicPr>
                        </pic:nvPicPr>
                        <pic:blipFill>
                          <a:blip r:embed="rId6" cstate="print"/>
                          <a:srcRect/>
                          <a:stretch>
                            <a:fillRect/>
                          </a:stretch>
                        </pic:blipFill>
                        <pic:spPr bwMode="auto">
                          <a:xfrm>
                            <a:off x="0" y="0"/>
                            <a:ext cx="1664795" cy="982013"/>
                          </a:xfrm>
                          <a:prstGeom prst="rect">
                            <a:avLst/>
                          </a:prstGeom>
                          <a:noFill/>
                          <a:ln>
                            <a:noFill/>
                          </a:ln>
                        </pic:spPr>
                      </pic:pic>
                    </a:graphicData>
                  </a:graphic>
                </wp:inline>
              </w:drawing>
            </w:r>
          </w:p>
        </w:tc>
      </w:tr>
      <w:tr w:rsidR="00E077F6" w:rsidTr="00982D1A">
        <w:tblPrEx>
          <w:tblCellMar>
            <w:top w:w="55" w:type="dxa"/>
            <w:left w:w="54" w:type="dxa"/>
            <w:bottom w:w="55" w:type="dxa"/>
            <w:right w:w="55" w:type="dxa"/>
          </w:tblCellMar>
          <w:tblLook w:val="0600" w:firstRow="0" w:lastRow="0" w:firstColumn="0" w:lastColumn="0" w:noHBand="1" w:noVBand="1"/>
        </w:tblPrEx>
        <w:tc>
          <w:tcPr>
            <w:tcW w:w="5500" w:type="dxa"/>
            <w:tcMar>
              <w:left w:w="54" w:type="dxa"/>
            </w:tcMar>
          </w:tcPr>
          <w:p w:rsidR="00E077F6" w:rsidRDefault="00000000">
            <w:r>
              <w:t>Mr J. Nguyen,</w:t>
            </w:r>
            <w:r>
              <w:br/>
              <w:t>Spring Industries</w:t>
            </w:r>
            <w:r>
              <w:br/>
              <w:t>29 Gibbins Road,</w:t>
            </w:r>
            <w:r>
              <w:br/>
              <w:t>Birmingham,</w:t>
            </w:r>
            <w:r>
              <w:br/>
              <w:t>B2 9E2,</w:t>
            </w:r>
            <w:r>
              <w:br/>
              <w:t>United Kingdom</w:t>
            </w:r>
          </w:p>
        </w:tc>
        <w:tc>
          <w:tcPr>
            <w:tcW w:w="4000" w:type="dxa"/>
            <w:tcMar>
              <w:left w:w="54" w:type="dxa"/>
            </w:tcMar>
          </w:tcPr>
          <w:p w:rsidR="00E077F6" w:rsidRDefault="00000000">
            <w:r>
              <w:t>Date:    24 June 2025</w:t>
            </w:r>
            <w:r>
              <w:br/>
              <w:t xml:space="preserve">Our Ref:    </w:t>
            </w:r>
          </w:p>
        </w:tc>
      </w:tr>
    </w:tbl>
    <w:p w:rsidR="00E077F6" w:rsidRDefault="00000000">
      <w:pPr>
        <w:pStyle w:val="Heading1"/>
        <w:spacing w:before="240" w:after="120"/>
        <w:jc w:val="center"/>
      </w:pPr>
      <w:r>
        <w:t>JOB AND SALARY POTENTIAL ELIGIBILITY REPORT FOR SKILLED WORKER VACANCY</w:t>
      </w:r>
    </w:p>
    <w:p w:rsidR="00E077F6" w:rsidRDefault="00000000">
      <w:pPr>
        <w:pStyle w:val="Heading3"/>
        <w:spacing w:before="240" w:after="120"/>
        <w:jc w:val="center"/>
      </w:pPr>
      <w:r>
        <w:t>Actuaries, economists and statisticians (2433)</w:t>
      </w:r>
      <w:r>
        <w:br/>
        <w:t>£41500.00 per annum</w:t>
      </w:r>
      <w:r>
        <w:tab/>
        <w:t xml:space="preserve"> 40 hours per week </w:t>
      </w:r>
    </w:p>
    <w:p w:rsidR="00E077F6" w:rsidRDefault="00000000">
      <w:r>
        <w:t>Dear Mr Nguyen,</w:t>
      </w:r>
    </w:p>
    <w:p w:rsidR="00E077F6" w:rsidRDefault="00000000">
      <w:r>
        <w:t>Based on the information we have seen, on 24 June 2025 the intended Job and Salary were</w:t>
      </w:r>
      <w:r>
        <w:rPr>
          <w:b/>
        </w:rPr>
        <w:t xml:space="preserve"> potentially eligible </w:t>
      </w:r>
      <w:r>
        <w:t>and able to be used for a Defined Certificate of Sponsorship application, as set out in “Legal Requirements for Job and Salary” below. (The actual eligibility will depend on specific details of the applicant which are shown below.) Please check that the details listed under “Summary of Information Provided” are consistent with your understanding of the job and salary to be offered.</w:t>
      </w:r>
    </w:p>
    <w:p w:rsidR="00E077F6" w:rsidRDefault="00000000">
      <w:pPr>
        <w:pStyle w:val="Heading2"/>
        <w:spacing w:before="240" w:after="120"/>
      </w:pPr>
      <w:r>
        <w:br/>
        <w:t>Summary of Information Provided</w:t>
      </w:r>
    </w:p>
    <w:p w:rsidR="00E077F6" w:rsidRDefault="00000000">
      <w:r>
        <w:rPr>
          <w:b/>
        </w:rPr>
        <w:t>It is crucial to the correctness of this outcome, the success of the application, and for any subsequent audits by the Home Office, that the following data is consistent with the intended duties and responsibilities attached to the role:</w:t>
      </w:r>
    </w:p>
    <w:tbl>
      <w:tblPr>
        <w:tblStyle w:val="TableGrid"/>
        <w:tblW w:w="9500" w:type="dxa"/>
        <w:tblInd w:w="55" w:type="dxa"/>
        <w:tblCellMar>
          <w:top w:w="55" w:type="dxa"/>
          <w:left w:w="54" w:type="dxa"/>
          <w:bottom w:w="55" w:type="dxa"/>
          <w:right w:w="55" w:type="dxa"/>
        </w:tblCellMar>
        <w:tblLook w:val="0600" w:firstRow="0" w:lastRow="0" w:firstColumn="0" w:lastColumn="0" w:noHBand="1" w:noVBand="1"/>
      </w:tblPr>
      <w:tblGrid>
        <w:gridCol w:w="4750"/>
        <w:gridCol w:w="4750"/>
      </w:tblGrid>
      <w:tr w:rsidR="00E077F6">
        <w:tc>
          <w:tcPr>
            <w:tcW w:w="4750" w:type="dxa"/>
            <w:tcMar>
              <w:left w:w="54" w:type="dxa"/>
            </w:tcMar>
          </w:tcPr>
          <w:p w:rsidR="00E077F6" w:rsidRDefault="00000000">
            <w:pPr>
              <w:rPr>
                <w:b/>
              </w:rPr>
            </w:pPr>
            <w:r>
              <w:rPr>
                <w:b/>
              </w:rPr>
              <w:t>In Job Description</w:t>
            </w:r>
          </w:p>
        </w:tc>
        <w:tc>
          <w:tcPr>
            <w:tcW w:w="4750" w:type="dxa"/>
            <w:tcMar>
              <w:left w:w="54" w:type="dxa"/>
            </w:tcMar>
          </w:tcPr>
          <w:p w:rsidR="00E077F6" w:rsidRDefault="00000000">
            <w:pPr>
              <w:rPr>
                <w:b/>
              </w:rPr>
            </w:pPr>
            <w:r>
              <w:rPr>
                <w:b/>
              </w:rPr>
              <w:t>ONS Data selected in the evaluation</w:t>
            </w:r>
          </w:p>
        </w:tc>
      </w:tr>
      <w:tr w:rsidR="00E077F6">
        <w:tc>
          <w:tcPr>
            <w:tcW w:w="4750" w:type="dxa"/>
            <w:tcMar>
              <w:left w:w="54" w:type="dxa"/>
            </w:tcMar>
          </w:tcPr>
          <w:p w:rsidR="00E077F6" w:rsidRDefault="00000000">
            <w:r>
              <w:rPr>
                <w:b/>
              </w:rPr>
              <w:t xml:space="preserve">Occupation Code: </w:t>
            </w:r>
            <w:r>
              <w:t xml:space="preserve"> 2433</w:t>
            </w:r>
          </w:p>
        </w:tc>
        <w:tc>
          <w:tcPr>
            <w:tcW w:w="4750" w:type="dxa"/>
            <w:tcMar>
              <w:left w:w="54" w:type="dxa"/>
            </w:tcMar>
          </w:tcPr>
          <w:p w:rsidR="00E077F6" w:rsidRDefault="00000000">
            <w:r>
              <w:rPr>
                <w:b/>
              </w:rPr>
              <w:t xml:space="preserve">Occupation Code: </w:t>
            </w:r>
            <w:r>
              <w:t xml:space="preserve"> 2433</w:t>
            </w:r>
          </w:p>
        </w:tc>
      </w:tr>
      <w:tr w:rsidR="00E077F6">
        <w:tc>
          <w:tcPr>
            <w:tcW w:w="4750" w:type="dxa"/>
            <w:tcMar>
              <w:left w:w="54" w:type="dxa"/>
            </w:tcMar>
          </w:tcPr>
          <w:p w:rsidR="00E077F6" w:rsidRDefault="00000000">
            <w:r>
              <w:rPr>
                <w:b/>
              </w:rPr>
              <w:t xml:space="preserve">Job title: </w:t>
            </w:r>
            <w:r>
              <w:t xml:space="preserve"> Actuary</w:t>
            </w:r>
          </w:p>
        </w:tc>
        <w:tc>
          <w:tcPr>
            <w:tcW w:w="4750" w:type="dxa"/>
            <w:tcMar>
              <w:left w:w="54" w:type="dxa"/>
            </w:tcMar>
          </w:tcPr>
          <w:p w:rsidR="00E077F6" w:rsidRDefault="00000000">
            <w:r>
              <w:rPr>
                <w:b/>
              </w:rPr>
              <w:t xml:space="preserve">Job type: </w:t>
            </w:r>
            <w:r>
              <w:t xml:space="preserve"> Actuaries, economists and statisticians</w:t>
            </w:r>
          </w:p>
        </w:tc>
      </w:tr>
      <w:tr w:rsidR="00E077F6">
        <w:tc>
          <w:tcPr>
            <w:tcW w:w="4750" w:type="dxa"/>
            <w:tcMar>
              <w:left w:w="54" w:type="dxa"/>
            </w:tcMar>
          </w:tcPr>
          <w:p w:rsidR="00E077F6" w:rsidRDefault="00000000">
            <w:r>
              <w:rPr>
                <w:b/>
              </w:rPr>
              <w:t xml:space="preserve">Related job title: </w:t>
            </w:r>
            <w:r>
              <w:t xml:space="preserve"> Actuary</w:t>
            </w:r>
          </w:p>
        </w:tc>
        <w:tc>
          <w:tcPr>
            <w:tcW w:w="4750" w:type="dxa"/>
            <w:tcMar>
              <w:left w:w="54" w:type="dxa"/>
            </w:tcMar>
          </w:tcPr>
          <w:p w:rsidR="00E077F6" w:rsidRDefault="00000000">
            <w:r>
              <w:rPr>
                <w:b/>
              </w:rPr>
              <w:t xml:space="preserve">Related job title chosen: </w:t>
            </w:r>
            <w:r>
              <w:t xml:space="preserve"> Actuary</w:t>
            </w:r>
          </w:p>
        </w:tc>
      </w:tr>
      <w:tr w:rsidR="00E077F6">
        <w:tc>
          <w:tcPr>
            <w:tcW w:w="4750" w:type="dxa"/>
            <w:tcMar>
              <w:left w:w="54" w:type="dxa"/>
            </w:tcMar>
          </w:tcPr>
          <w:p w:rsidR="00E077F6" w:rsidRDefault="00000000">
            <w:r>
              <w:rPr>
                <w:b/>
              </w:rPr>
              <w:t xml:space="preserve">Job description: </w:t>
            </w:r>
            <w:r>
              <w:t xml:space="preserve"> Analyse the financial risks and benefits of the company’s undertaking of certain projects, based on existing figures of the company’s profits and costs. Work alongside a team of data analysts to give presentations to the board of directors.</w:t>
            </w:r>
          </w:p>
        </w:tc>
        <w:tc>
          <w:tcPr>
            <w:tcW w:w="4750" w:type="dxa"/>
            <w:tcMar>
              <w:left w:w="54" w:type="dxa"/>
            </w:tcMar>
          </w:tcPr>
          <w:p w:rsidR="00E077F6" w:rsidRDefault="00000000">
            <w:r>
              <w:rPr>
                <w:b/>
              </w:rPr>
              <w:t xml:space="preserve">Job description: </w:t>
            </w:r>
            <w:r>
              <w:t xml:space="preserve"> Actuaries, economists and statisticians apply theoretical principles and practical techniques to assess risk and formulate probabilistic outcomes in order to inform economic and business policy, and to analyse and interpret data used to assist in the formulation of financial, business and economic policies in order to maximise growth or improve </w:t>
            </w:r>
            <w:r>
              <w:lastRenderedPageBreak/>
              <w:t xml:space="preserve">business performance. </w:t>
            </w:r>
            <w:r>
              <w:br/>
            </w:r>
            <w:r>
              <w:rPr>
                <w:b/>
              </w:rPr>
              <w:t xml:space="preserve">Tasks required: </w:t>
            </w:r>
            <w:r>
              <w:t>Assesses the objectives and requirements of the organisation seeking advice. Uses a variety of techniques and theoretical principles to establish probability and risk in respect of e.g. life insurance or pensions. Uses appropriate techniques and theoretical principles to determine an appropriate method of data collection and research methodology, analyse and interpret information gained and formulate recommendations on issues such as future trends, improved efficiency. Designs and manages surveys and uses statistical techniques in order to analyse and interpret the quantitative data collected. Provides economic or statistical advice to governments, commercial enterprises, organisations and other clients in light of research findings. Addresses seminars, conferences and the media to present results of research activity or to express professional views.</w:t>
            </w:r>
          </w:p>
        </w:tc>
      </w:tr>
      <w:tr w:rsidR="00E077F6">
        <w:tc>
          <w:tcPr>
            <w:tcW w:w="4750" w:type="dxa"/>
            <w:tcMar>
              <w:left w:w="54" w:type="dxa"/>
            </w:tcMar>
          </w:tcPr>
          <w:p w:rsidR="00E077F6" w:rsidRDefault="00000000">
            <w:r>
              <w:rPr>
                <w:b/>
              </w:rPr>
              <w:lastRenderedPageBreak/>
              <w:t xml:space="preserve">Salary: </w:t>
            </w:r>
            <w:r>
              <w:t xml:space="preserve"> £41500.00 per annum </w:t>
            </w:r>
          </w:p>
        </w:tc>
        <w:tc>
          <w:tcPr>
            <w:tcW w:w="4750" w:type="dxa"/>
            <w:tcMar>
              <w:left w:w="54" w:type="dxa"/>
            </w:tcMar>
          </w:tcPr>
          <w:p w:rsidR="00E077F6" w:rsidRDefault="00E077F6"/>
        </w:tc>
      </w:tr>
      <w:tr w:rsidR="00E077F6">
        <w:tc>
          <w:tcPr>
            <w:tcW w:w="4750" w:type="dxa"/>
            <w:tcMar>
              <w:left w:w="54" w:type="dxa"/>
            </w:tcMar>
          </w:tcPr>
          <w:p w:rsidR="00E077F6" w:rsidRDefault="00000000">
            <w:r>
              <w:rPr>
                <w:b/>
              </w:rPr>
              <w:t xml:space="preserve">Hours per week: </w:t>
            </w:r>
            <w:r>
              <w:t xml:space="preserve"> 40 </w:t>
            </w:r>
          </w:p>
        </w:tc>
        <w:tc>
          <w:tcPr>
            <w:tcW w:w="4750" w:type="dxa"/>
            <w:tcMar>
              <w:left w:w="54" w:type="dxa"/>
            </w:tcMar>
          </w:tcPr>
          <w:p w:rsidR="00E077F6" w:rsidRDefault="00000000">
            <w:r>
              <w:rPr>
                <w:b/>
              </w:rPr>
              <w:t xml:space="preserve">Standard Hours per Week: </w:t>
            </w:r>
            <w:r>
              <w:t xml:space="preserve"> 37.5 </w:t>
            </w:r>
          </w:p>
        </w:tc>
      </w:tr>
    </w:tbl>
    <w:p w:rsidR="00E077F6" w:rsidRDefault="00000000">
      <w:pPr>
        <w:pStyle w:val="Heading2"/>
        <w:spacing w:before="240" w:after="120"/>
      </w:pPr>
      <w:r>
        <w:br/>
        <w:t>Legal Requirements for Job and Salary</w:t>
      </w:r>
    </w:p>
    <w:p w:rsidR="00E077F6" w:rsidRDefault="00000000">
      <w:r>
        <w:t>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“Actuary” and the job description was “Analyse the financial risks and benefits of the company’s undertaking of certain projects, based on existing figures of the company’s profits and costs. Work alongside a team of data analysts to give presentations to the board of directors.”.</w:t>
      </w:r>
      <w:r>
        <w:br/>
      </w:r>
      <w:r>
        <w:br/>
        <w:t xml:space="preserve">The Eligibility Requirements for sponsorship in Appendix SW 6 were met. The occupation code chosen (2433) was an exact match to a code in the occupation list. The job title was “Actuary”, and “Actuary” is a title related to the occupation code. </w:t>
      </w:r>
      <w:r>
        <w:br/>
      </w:r>
      <w:r>
        <w:br/>
        <w:t>The job may have met the Eligibility Requirements in Appendix SW 4.2, depending on the applicant’s details. For the minimum salary requirements see the table below.</w:t>
      </w:r>
    </w:p>
    <w:p w:rsidR="00E077F6" w:rsidRDefault="00000000">
      <w:pPr>
        <w:pStyle w:val="Heading2"/>
        <w:pageBreakBefore/>
        <w:spacing w:before="240" w:after="120"/>
      </w:pPr>
      <w:r>
        <w:lastRenderedPageBreak/>
        <w:t>Minimum salary required under available options (Salary offered is £41500.00 per annum)</w:t>
      </w:r>
    </w:p>
    <w:tbl>
      <w:tblPr>
        <w:tblStyle w:val="PlainTable4"/>
        <w:tblW w:w="9700" w:type="dxa"/>
        <w:tblInd w:w="55" w:type="dxa"/>
        <w:tblCellMar>
          <w:top w:w="55" w:type="dxa"/>
          <w:left w:w="54" w:type="dxa"/>
          <w:bottom w:w="55" w:type="dxa"/>
          <w:right w:w="55" w:type="dxa"/>
        </w:tblCellMar>
        <w:tblLook w:val="0600" w:firstRow="0" w:lastRow="0" w:firstColumn="0" w:lastColumn="0" w:noHBand="1" w:noVBand="1"/>
      </w:tblPr>
      <w:tblGrid>
        <w:gridCol w:w="900"/>
        <w:gridCol w:w="3800"/>
        <w:gridCol w:w="1200"/>
        <w:gridCol w:w="1800"/>
        <w:gridCol w:w="2000"/>
      </w:tblGrid>
      <w:tr w:rsidR="00E077F6" w:rsidTr="00E077F6">
        <w:tc>
          <w:tcPr>
            <w:tcW w:w="900" w:type="dxa"/>
            <w:tcMar>
              <w:left w:w="54" w:type="dxa"/>
            </w:tcMar>
          </w:tcPr>
          <w:p w:rsidR="00E077F6" w:rsidRDefault="00000000">
            <w:pPr>
              <w:rPr>
                <w:b/>
              </w:rPr>
            </w:pPr>
            <w:r>
              <w:rPr>
                <w:b/>
              </w:rPr>
              <w:t>Option</w:t>
            </w:r>
          </w:p>
        </w:tc>
        <w:tc>
          <w:tcPr>
            <w:tcW w:w="3800" w:type="dxa"/>
            <w:tcMar>
              <w:left w:w="54" w:type="dxa"/>
            </w:tcMar>
          </w:tcPr>
          <w:p w:rsidR="00E077F6" w:rsidRDefault="00000000">
            <w:pPr>
              <w:rPr>
                <w:b/>
              </w:rPr>
            </w:pPr>
            <w:r>
              <w:rPr>
                <w:b/>
              </w:rPr>
              <w:t>Applicant Conditions</w:t>
            </w:r>
          </w:p>
        </w:tc>
        <w:tc>
          <w:tcPr>
            <w:tcW w:w="1200" w:type="dxa"/>
            <w:tcMar>
              <w:left w:w="54" w:type="dxa"/>
            </w:tcMar>
          </w:tcPr>
          <w:p w:rsidR="00E077F6" w:rsidRDefault="00000000">
            <w:pPr>
              <w:rPr>
                <w:b/>
              </w:rPr>
            </w:pPr>
            <w:r>
              <w:rPr>
                <w:b/>
              </w:rPr>
              <w:t>Notes</w:t>
            </w:r>
          </w:p>
        </w:tc>
        <w:tc>
          <w:tcPr>
            <w:tcW w:w="1800" w:type="dxa"/>
            <w:tcMar>
              <w:left w:w="54" w:type="dxa"/>
            </w:tcMar>
          </w:tcPr>
          <w:p w:rsidR="00E077F6" w:rsidRDefault="00000000">
            <w:pPr>
              <w:rPr>
                <w:b/>
              </w:rPr>
            </w:pPr>
            <w:r>
              <w:rPr>
                <w:b/>
              </w:rPr>
              <w:t>Minimum salary</w:t>
            </w:r>
          </w:p>
        </w:tc>
        <w:tc>
          <w:tcPr>
            <w:tcW w:w="2000" w:type="dxa"/>
            <w:tcMar>
              <w:left w:w="54" w:type="dxa"/>
            </w:tcMar>
          </w:tcPr>
          <w:p w:rsidR="00E077F6" w:rsidRDefault="00000000">
            <w:pPr>
              <w:rPr>
                <w:b/>
              </w:rPr>
            </w:pPr>
            <w:r>
              <w:rPr>
                <w:b/>
              </w:rPr>
              <w:t>Outcome</w:t>
            </w:r>
          </w:p>
        </w:tc>
      </w:tr>
      <w:tr w:rsidR="00E077F6" w:rsidTr="00E077F6">
        <w:tc>
          <w:tcPr>
            <w:tcW w:w="900" w:type="dxa"/>
            <w:tcMar>
              <w:left w:w="54" w:type="dxa"/>
            </w:tcMar>
          </w:tcPr>
          <w:p w:rsidR="00E077F6" w:rsidRDefault="00000000">
            <w:r>
              <w:t>A</w:t>
            </w:r>
          </w:p>
        </w:tc>
        <w:tc>
          <w:tcPr>
            <w:tcW w:w="3800" w:type="dxa"/>
            <w:tcMar>
              <w:left w:w="54" w:type="dxa"/>
            </w:tcMar>
          </w:tcPr>
          <w:p w:rsidR="00E077F6" w:rsidRDefault="00E077F6"/>
        </w:tc>
        <w:tc>
          <w:tcPr>
            <w:tcW w:w="1200" w:type="dxa"/>
            <w:tcMar>
              <w:left w:w="54" w:type="dxa"/>
            </w:tcMar>
          </w:tcPr>
          <w:p w:rsidR="00E077F6" w:rsidRDefault="00E077F6"/>
        </w:tc>
        <w:tc>
          <w:tcPr>
            <w:tcW w:w="1800" w:type="dxa"/>
            <w:tcMar>
              <w:left w:w="54" w:type="dxa"/>
            </w:tcMar>
          </w:tcPr>
          <w:p w:rsidR="00E077F6" w:rsidRDefault="00000000">
            <w:r>
              <w:rPr>
                <w:color w:val="FF0000"/>
              </w:rPr>
              <w:t>£51,200.00</w:t>
            </w:r>
          </w:p>
        </w:tc>
        <w:tc>
          <w:tcPr>
            <w:tcW w:w="2000" w:type="dxa"/>
            <w:tcMar>
              <w:left w:w="54" w:type="dxa"/>
            </w:tcMar>
          </w:tcPr>
          <w:p w:rsidR="00E077F6" w:rsidRDefault="00000000">
            <w:r>
              <w:rPr>
                <w:color w:val="FF0000"/>
              </w:rPr>
              <w:t>Fail</w:t>
            </w:r>
          </w:p>
        </w:tc>
      </w:tr>
      <w:tr w:rsidR="00E077F6" w:rsidTr="00E077F6">
        <w:tc>
          <w:tcPr>
            <w:tcW w:w="900" w:type="dxa"/>
            <w:tcMar>
              <w:left w:w="54" w:type="dxa"/>
            </w:tcMar>
          </w:tcPr>
          <w:p w:rsidR="00E077F6" w:rsidRDefault="00000000">
            <w:r>
              <w:t>B</w:t>
            </w:r>
          </w:p>
        </w:tc>
        <w:tc>
          <w:tcPr>
            <w:tcW w:w="3800" w:type="dxa"/>
            <w:tcMar>
              <w:left w:w="54" w:type="dxa"/>
            </w:tcMar>
          </w:tcPr>
          <w:p w:rsidR="00E077F6" w:rsidRDefault="00000000">
            <w:r>
              <w:t>PhD</w:t>
            </w:r>
          </w:p>
        </w:tc>
        <w:tc>
          <w:tcPr>
            <w:tcW w:w="1200" w:type="dxa"/>
            <w:tcMar>
              <w:left w:w="54" w:type="dxa"/>
            </w:tcMar>
          </w:tcPr>
          <w:p w:rsidR="00E077F6" w:rsidRDefault="00000000">
            <w:r>
              <w:t>1</w:t>
            </w:r>
          </w:p>
        </w:tc>
        <w:tc>
          <w:tcPr>
            <w:tcW w:w="1800" w:type="dxa"/>
            <w:tcMar>
              <w:left w:w="54" w:type="dxa"/>
            </w:tcMar>
          </w:tcPr>
          <w:p w:rsidR="00E077F6" w:rsidRDefault="00000000">
            <w:r>
              <w:rPr>
                <w:color w:val="FF0000"/>
              </w:rPr>
              <w:t>£46,080.00</w:t>
            </w:r>
          </w:p>
        </w:tc>
        <w:tc>
          <w:tcPr>
            <w:tcW w:w="2000" w:type="dxa"/>
            <w:tcMar>
              <w:left w:w="54" w:type="dxa"/>
            </w:tcMar>
          </w:tcPr>
          <w:p w:rsidR="00E077F6" w:rsidRDefault="00000000">
            <w:r>
              <w:rPr>
                <w:color w:val="FF0000"/>
              </w:rPr>
              <w:t>Fail</w:t>
            </w:r>
          </w:p>
        </w:tc>
      </w:tr>
      <w:tr w:rsidR="00E077F6" w:rsidTr="00E077F6">
        <w:tc>
          <w:tcPr>
            <w:tcW w:w="900" w:type="dxa"/>
            <w:tcMar>
              <w:left w:w="54" w:type="dxa"/>
            </w:tcMar>
          </w:tcPr>
          <w:p w:rsidR="00E077F6" w:rsidRDefault="00000000">
            <w:r>
              <w:t>C</w:t>
            </w:r>
          </w:p>
        </w:tc>
        <w:tc>
          <w:tcPr>
            <w:tcW w:w="3800" w:type="dxa"/>
            <w:tcMar>
              <w:left w:w="54" w:type="dxa"/>
            </w:tcMar>
          </w:tcPr>
          <w:p w:rsidR="00E077F6" w:rsidRDefault="00000000">
            <w:r>
              <w:t>PhD, STEM subject</w:t>
            </w:r>
          </w:p>
        </w:tc>
        <w:tc>
          <w:tcPr>
            <w:tcW w:w="1200" w:type="dxa"/>
            <w:tcMar>
              <w:left w:w="54" w:type="dxa"/>
            </w:tcMar>
          </w:tcPr>
          <w:p w:rsidR="00E077F6" w:rsidRDefault="00000000">
            <w:r>
              <w:t>1, 2</w:t>
            </w:r>
          </w:p>
        </w:tc>
        <w:tc>
          <w:tcPr>
            <w:tcW w:w="1800" w:type="dxa"/>
            <w:tcMar>
              <w:left w:w="54" w:type="dxa"/>
            </w:tcMar>
          </w:tcPr>
          <w:p w:rsidR="00E077F6" w:rsidRDefault="00000000">
            <w:r>
              <w:t>£40,960.00</w:t>
            </w:r>
          </w:p>
        </w:tc>
        <w:tc>
          <w:tcPr>
            <w:tcW w:w="2000" w:type="dxa"/>
            <w:tcMar>
              <w:left w:w="54" w:type="dxa"/>
            </w:tcMar>
          </w:tcPr>
          <w:p w:rsidR="00E077F6" w:rsidRDefault="00000000">
            <w:r>
              <w:t>Contingent Pass</w:t>
            </w:r>
          </w:p>
        </w:tc>
      </w:tr>
      <w:tr w:rsidR="00E077F6" w:rsidTr="00E077F6">
        <w:tc>
          <w:tcPr>
            <w:tcW w:w="900" w:type="dxa"/>
            <w:tcMar>
              <w:left w:w="54" w:type="dxa"/>
            </w:tcMar>
          </w:tcPr>
          <w:p w:rsidR="00E077F6" w:rsidRDefault="00000000">
            <w:r>
              <w:t>E</w:t>
            </w:r>
          </w:p>
        </w:tc>
        <w:tc>
          <w:tcPr>
            <w:tcW w:w="3800" w:type="dxa"/>
            <w:tcMar>
              <w:left w:w="54" w:type="dxa"/>
            </w:tcMar>
          </w:tcPr>
          <w:p w:rsidR="00E077F6" w:rsidRDefault="00000000">
            <w:r>
              <w:t>New Entrant, 4 Year Limit</w:t>
            </w:r>
          </w:p>
        </w:tc>
        <w:tc>
          <w:tcPr>
            <w:tcW w:w="1200" w:type="dxa"/>
            <w:tcMar>
              <w:left w:w="54" w:type="dxa"/>
            </w:tcMar>
          </w:tcPr>
          <w:p w:rsidR="00E077F6" w:rsidRDefault="00000000">
            <w:r>
              <w:t>3, 4</w:t>
            </w:r>
          </w:p>
        </w:tc>
        <w:tc>
          <w:tcPr>
            <w:tcW w:w="1800" w:type="dxa"/>
            <w:tcMar>
              <w:left w:w="54" w:type="dxa"/>
            </w:tcMar>
          </w:tcPr>
          <w:p w:rsidR="00E077F6" w:rsidRDefault="00000000">
            <w:r>
              <w:t>£35,840.00</w:t>
            </w:r>
          </w:p>
        </w:tc>
        <w:tc>
          <w:tcPr>
            <w:tcW w:w="2000" w:type="dxa"/>
            <w:tcMar>
              <w:left w:w="54" w:type="dxa"/>
            </w:tcMar>
          </w:tcPr>
          <w:p w:rsidR="00E077F6" w:rsidRDefault="00000000">
            <w:r>
              <w:t>Contingent Pass</w:t>
            </w:r>
          </w:p>
        </w:tc>
      </w:tr>
      <w:tr w:rsidR="00E077F6" w:rsidTr="00E077F6">
        <w:tc>
          <w:tcPr>
            <w:tcW w:w="900" w:type="dxa"/>
            <w:tcMar>
              <w:left w:w="54" w:type="dxa"/>
            </w:tcMar>
          </w:tcPr>
          <w:p w:rsidR="00E077F6" w:rsidRDefault="00000000">
            <w:r>
              <w:t>F</w:t>
            </w:r>
          </w:p>
        </w:tc>
        <w:tc>
          <w:tcPr>
            <w:tcW w:w="3800" w:type="dxa"/>
            <w:tcMar>
              <w:left w:w="54" w:type="dxa"/>
            </w:tcMar>
          </w:tcPr>
          <w:p w:rsidR="00E077F6" w:rsidRDefault="00000000">
            <w:r>
              <w:t>Existing SW Visa</w:t>
            </w:r>
          </w:p>
        </w:tc>
        <w:tc>
          <w:tcPr>
            <w:tcW w:w="1200" w:type="dxa"/>
            <w:tcMar>
              <w:left w:w="54" w:type="dxa"/>
            </w:tcMar>
          </w:tcPr>
          <w:p w:rsidR="00E077F6" w:rsidRDefault="00000000">
            <w:r>
              <w:t>5</w:t>
            </w:r>
          </w:p>
        </w:tc>
        <w:tc>
          <w:tcPr>
            <w:tcW w:w="1800" w:type="dxa"/>
            <w:tcMar>
              <w:left w:w="54" w:type="dxa"/>
            </w:tcMar>
          </w:tcPr>
          <w:p w:rsidR="00E077F6" w:rsidRDefault="00000000">
            <w:r>
              <w:t>£39,786.67</w:t>
            </w:r>
          </w:p>
        </w:tc>
        <w:tc>
          <w:tcPr>
            <w:tcW w:w="2000" w:type="dxa"/>
            <w:tcMar>
              <w:left w:w="54" w:type="dxa"/>
            </w:tcMar>
          </w:tcPr>
          <w:p w:rsidR="00E077F6" w:rsidRDefault="00000000">
            <w:r>
              <w:t>Contingent Pass</w:t>
            </w:r>
          </w:p>
        </w:tc>
      </w:tr>
      <w:tr w:rsidR="00E077F6" w:rsidTr="00E077F6">
        <w:tc>
          <w:tcPr>
            <w:tcW w:w="900" w:type="dxa"/>
            <w:tcMar>
              <w:left w:w="54" w:type="dxa"/>
            </w:tcMar>
          </w:tcPr>
          <w:p w:rsidR="00E077F6" w:rsidRDefault="00000000">
            <w:r>
              <w:t>G</w:t>
            </w:r>
          </w:p>
        </w:tc>
        <w:tc>
          <w:tcPr>
            <w:tcW w:w="3800" w:type="dxa"/>
            <w:tcMar>
              <w:left w:w="54" w:type="dxa"/>
            </w:tcMar>
          </w:tcPr>
          <w:p w:rsidR="00E077F6" w:rsidRDefault="00000000">
            <w:r>
              <w:t>PhD, Existing SW Visa</w:t>
            </w:r>
          </w:p>
        </w:tc>
        <w:tc>
          <w:tcPr>
            <w:tcW w:w="1200" w:type="dxa"/>
            <w:tcMar>
              <w:left w:w="54" w:type="dxa"/>
            </w:tcMar>
          </w:tcPr>
          <w:p w:rsidR="00E077F6" w:rsidRDefault="00000000">
            <w:r>
              <w:t>1, 5</w:t>
            </w:r>
          </w:p>
        </w:tc>
        <w:tc>
          <w:tcPr>
            <w:tcW w:w="1800" w:type="dxa"/>
            <w:tcMar>
              <w:left w:w="54" w:type="dxa"/>
            </w:tcMar>
          </w:tcPr>
          <w:p w:rsidR="00E077F6" w:rsidRDefault="00000000">
            <w:r>
              <w:t>£35,808.00</w:t>
            </w:r>
          </w:p>
        </w:tc>
        <w:tc>
          <w:tcPr>
            <w:tcW w:w="2000" w:type="dxa"/>
            <w:tcMar>
              <w:left w:w="54" w:type="dxa"/>
            </w:tcMar>
          </w:tcPr>
          <w:p w:rsidR="00E077F6" w:rsidRDefault="00000000">
            <w:r>
              <w:t>Contingent Pass</w:t>
            </w:r>
          </w:p>
        </w:tc>
      </w:tr>
      <w:tr w:rsidR="00E077F6" w:rsidTr="00E077F6">
        <w:tc>
          <w:tcPr>
            <w:tcW w:w="900" w:type="dxa"/>
            <w:tcMar>
              <w:left w:w="54" w:type="dxa"/>
            </w:tcMar>
          </w:tcPr>
          <w:p w:rsidR="00E077F6" w:rsidRDefault="00000000">
            <w:r>
              <w:t>H</w:t>
            </w:r>
          </w:p>
        </w:tc>
        <w:tc>
          <w:tcPr>
            <w:tcW w:w="3800" w:type="dxa"/>
            <w:tcMar>
              <w:left w:w="54" w:type="dxa"/>
            </w:tcMar>
          </w:tcPr>
          <w:p w:rsidR="00E077F6" w:rsidRDefault="00000000">
            <w:r>
              <w:t>PhD, STEM subject, Existing SW Visa</w:t>
            </w:r>
          </w:p>
        </w:tc>
        <w:tc>
          <w:tcPr>
            <w:tcW w:w="1200" w:type="dxa"/>
            <w:tcMar>
              <w:left w:w="54" w:type="dxa"/>
            </w:tcMar>
          </w:tcPr>
          <w:p w:rsidR="00E077F6" w:rsidRDefault="00000000">
            <w:r>
              <w:t>1, 2, 5</w:t>
            </w:r>
          </w:p>
        </w:tc>
        <w:tc>
          <w:tcPr>
            <w:tcW w:w="1800" w:type="dxa"/>
            <w:tcMar>
              <w:left w:w="54" w:type="dxa"/>
            </w:tcMar>
          </w:tcPr>
          <w:p w:rsidR="00E077F6" w:rsidRDefault="00000000">
            <w:r>
              <w:t>£31,829.33</w:t>
            </w:r>
          </w:p>
        </w:tc>
        <w:tc>
          <w:tcPr>
            <w:tcW w:w="2000" w:type="dxa"/>
            <w:tcMar>
              <w:left w:w="54" w:type="dxa"/>
            </w:tcMar>
          </w:tcPr>
          <w:p w:rsidR="00E077F6" w:rsidRDefault="00000000">
            <w:r>
              <w:t>Contingent Pass</w:t>
            </w:r>
          </w:p>
        </w:tc>
      </w:tr>
      <w:tr w:rsidR="00E077F6" w:rsidTr="00E077F6">
        <w:tc>
          <w:tcPr>
            <w:tcW w:w="900" w:type="dxa"/>
            <w:tcMar>
              <w:left w:w="54" w:type="dxa"/>
            </w:tcMar>
          </w:tcPr>
          <w:p w:rsidR="00E077F6" w:rsidRDefault="00000000">
            <w:r>
              <w:t>J</w:t>
            </w:r>
          </w:p>
        </w:tc>
        <w:tc>
          <w:tcPr>
            <w:tcW w:w="3800" w:type="dxa"/>
            <w:tcMar>
              <w:left w:w="54" w:type="dxa"/>
            </w:tcMar>
          </w:tcPr>
          <w:p w:rsidR="00E077F6" w:rsidRDefault="00000000">
            <w:r>
              <w:t>New Entrant, 4 Year Limit, Existing SW Visa</w:t>
            </w:r>
          </w:p>
        </w:tc>
        <w:tc>
          <w:tcPr>
            <w:tcW w:w="1200" w:type="dxa"/>
            <w:tcMar>
              <w:left w:w="54" w:type="dxa"/>
            </w:tcMar>
          </w:tcPr>
          <w:p w:rsidR="00E077F6" w:rsidRDefault="00000000">
            <w:r>
              <w:t>3, 4, 5</w:t>
            </w:r>
          </w:p>
        </w:tc>
        <w:tc>
          <w:tcPr>
            <w:tcW w:w="1800" w:type="dxa"/>
            <w:tcMar>
              <w:left w:w="54" w:type="dxa"/>
            </w:tcMar>
          </w:tcPr>
          <w:p w:rsidR="00E077F6" w:rsidRDefault="00000000">
            <w:r>
              <w:t>£27,850.67</w:t>
            </w:r>
          </w:p>
        </w:tc>
        <w:tc>
          <w:tcPr>
            <w:tcW w:w="2000" w:type="dxa"/>
            <w:tcMar>
              <w:left w:w="54" w:type="dxa"/>
            </w:tcMar>
          </w:tcPr>
          <w:p w:rsidR="00E077F6" w:rsidRDefault="00000000">
            <w:r>
              <w:t>Contingent Pass</w:t>
            </w:r>
          </w:p>
        </w:tc>
      </w:tr>
    </w:tbl>
    <w:p w:rsidR="00E077F6" w:rsidRDefault="00000000">
      <w:r>
        <w:br/>
        <w:t>Notes</w:t>
      </w:r>
    </w:p>
    <w:p w:rsidR="00E077F6" w:rsidRDefault="00000000">
      <w:pPr>
        <w:pStyle w:val="Hanging1"/>
      </w:pPr>
      <w:r>
        <w:t>1.</w:t>
      </w:r>
      <w:r>
        <w:tab/>
      </w:r>
      <w:r>
        <w:rPr>
          <w:b/>
        </w:rPr>
        <w:t>PhD</w:t>
      </w:r>
      <w:r>
        <w:t xml:space="preserve"> - The applicant must have an academic qualification which is relevant to the job, and which meets the recognised standard of a UK doctoral degree.</w:t>
      </w:r>
    </w:p>
    <w:p w:rsidR="00E077F6" w:rsidRDefault="00000000">
      <w:pPr>
        <w:pStyle w:val="Hanging1"/>
      </w:pPr>
      <w:r>
        <w:t>2.</w:t>
      </w:r>
      <w:r>
        <w:tab/>
      </w:r>
      <w:r>
        <w:rPr>
          <w:b/>
        </w:rPr>
        <w:t>STEM subject</w:t>
      </w:r>
      <w:r>
        <w:t xml:space="preserve"> - The applicant’s qualification must be in a STEM (Science, Technology, Engineering or Mathematics) subject.</w:t>
      </w:r>
    </w:p>
    <w:p w:rsidR="00E077F6" w:rsidRDefault="00000000">
      <w:pPr>
        <w:pStyle w:val="Hanging1"/>
      </w:pPr>
      <w:r>
        <w:t>3.</w:t>
      </w:r>
      <w:r>
        <w:tab/>
      </w:r>
      <w:r>
        <w:rPr>
          <w:b/>
        </w:rPr>
        <w:t>New Entrant</w:t>
      </w:r>
      <w:r>
        <w:t xml:space="preserve"> - The applicant must meet one or more of the following:</w:t>
      </w:r>
    </w:p>
    <w:p w:rsidR="00E077F6" w:rsidRDefault="00000000">
      <w:pPr>
        <w:pStyle w:val="Hanging2"/>
      </w:pPr>
      <w:r>
        <w:t>•</w:t>
      </w:r>
      <w:r>
        <w:tab/>
        <w:t>is under the age of 26</w:t>
      </w:r>
    </w:p>
    <w:p w:rsidR="00E077F6" w:rsidRDefault="00000000">
      <w:pPr>
        <w:pStyle w:val="Hanging2"/>
      </w:pPr>
      <w:r>
        <w:t>•</w:t>
      </w:r>
      <w:r>
        <w:tab/>
        <w:t>is working towards a recognised qualification for the job</w:t>
      </w:r>
    </w:p>
    <w:p w:rsidR="00E077F6" w:rsidRDefault="00000000">
      <w:pPr>
        <w:pStyle w:val="Hanging2"/>
      </w:pPr>
      <w:r>
        <w:t>•</w:t>
      </w:r>
      <w:r>
        <w:tab/>
        <w:t>is working towards full registration or chartered status with the relevant professional body for the job</w:t>
      </w:r>
    </w:p>
    <w:p w:rsidR="00E077F6" w:rsidRDefault="00000000">
      <w:pPr>
        <w:pStyle w:val="Hanging2"/>
      </w:pPr>
      <w:r>
        <w:t>•</w:t>
      </w:r>
      <w:r>
        <w:tab/>
        <w:t>has a permission as a Student or Graduate which is still current or expired not more than 2 years ago.</w:t>
      </w:r>
    </w:p>
    <w:p w:rsidR="00E077F6" w:rsidRDefault="00000000">
      <w:pPr>
        <w:pStyle w:val="Hanging1"/>
      </w:pPr>
      <w:r>
        <w:t>4.</w:t>
      </w:r>
      <w:r>
        <w:tab/>
      </w:r>
      <w:r>
        <w:rPr>
          <w:b/>
        </w:rPr>
        <w:t>4 Year Limit</w:t>
      </w:r>
      <w:r>
        <w:t xml:space="preserve"> - The total duration of the applicant’s permission as a Skilled Worker (including the intended permission), Graduate or Tier 2 Migrant may not exceed 4 years.</w:t>
      </w:r>
    </w:p>
    <w:p w:rsidR="00E077F6" w:rsidRDefault="00000000">
      <w:pPr>
        <w:pStyle w:val="Hanging1"/>
      </w:pPr>
      <w:r>
        <w:t>5.</w:t>
      </w:r>
      <w:r>
        <w:tab/>
      </w:r>
      <w:r>
        <w:rPr>
          <w:b/>
        </w:rPr>
        <w:t>Existing SW Visa</w:t>
      </w:r>
      <w:r>
        <w:t xml:space="preserve"> - The applicant must have been granted permission as a Skilled Worker before 4 April 2024, and have had continuous permission as a Skilled Worker since then.</w:t>
      </w:r>
    </w:p>
    <w:p w:rsidR="00E077F6" w:rsidRDefault="00000000">
      <w:pPr>
        <w:pStyle w:val="Heading2"/>
        <w:spacing w:before="240" w:after="120"/>
      </w:pPr>
      <w:r>
        <w:br/>
        <w:t>Next Steps</w:t>
      </w:r>
    </w:p>
    <w:p w:rsidR="00E077F6" w:rsidRDefault="00000000">
      <w:r>
        <w:t>The next step is to ensure that an applicant who meets the above listed conditions is available to be sponsored by Spring Industries. Once this has been confirmed, you can then apply for a Defined Certificate of Sponsorship using the Sponsor Management System, with the Job and Salary information provided. See the “Application for Certificate of Sponsorship” to view the specific Job and Salary information that will be used in the Defined CoS application form.</w:t>
      </w:r>
    </w:p>
    <w:p w:rsidR="00E077F6" w:rsidRDefault="00000000">
      <w:r>
        <w:lastRenderedPageBreak/>
        <w:t>Note that you will also need to include a sponsor note when applying for the Defined CoS, specifying that the Defined CoS can only be assigned to a Skilled Worker who has the specific characteristics required for the optional route under which the applicant is to be sponsored. The salary will need to meet the minimum salary listed for that option.</w:t>
      </w:r>
    </w:p>
    <w:p w:rsidR="00E077F6" w:rsidRDefault="00000000">
      <w:r>
        <w:br/>
        <w:t>If you have any concerns or queries, do not hesitate to contact us.</w:t>
      </w:r>
    </w:p>
    <w:p w:rsidR="00E077F6" w:rsidRDefault="00000000">
      <w:r>
        <w:t>Yours sincerely,</w:t>
      </w:r>
      <w:r>
        <w:br/>
      </w:r>
    </w:p>
    <w:tbl>
      <w:tblPr>
        <w:tblStyle w:val="PlainTable4"/>
        <w:tblpPr w:tblpYSpec="bottom"/>
        <w:tblW w:w="9500" w:type="dxa"/>
        <w:tblCellMar>
          <w:top w:w="55" w:type="dxa"/>
          <w:left w:w="54" w:type="dxa"/>
          <w:bottom w:w="55" w:type="dxa"/>
          <w:right w:w="55" w:type="dxa"/>
        </w:tblCellMar>
        <w:tblLook w:val="0600" w:firstRow="0" w:lastRow="0" w:firstColumn="0" w:lastColumn="0" w:noHBand="1" w:noVBand="1"/>
      </w:tblPr>
      <w:tblGrid>
        <w:gridCol w:w="6770"/>
        <w:gridCol w:w="2730"/>
      </w:tblGrid>
      <w:tr w:rsidR="00982D1A" w:rsidTr="00E077F6">
        <w:tc>
          <w:tcPr>
            <w:tcW w:w="8500" w:type="dxa"/>
            <w:tcMar>
              <w:left w:w="54" w:type="dxa"/>
            </w:tcMar>
          </w:tcPr>
          <w:p w:rsidR="00982D1A" w:rsidRDefault="00982D1A" w:rsidP="00982D1A">
            <w:pPr>
              <w:pStyle w:val="FootnoteText"/>
            </w:pPr>
            <w:r>
              <w:rPr>
                <w:b/>
              </w:rPr>
              <w:t>Smithers Solicitors LLP</w:t>
            </w:r>
            <w:r>
              <w:br/>
              <w:t>Telephone: +44 (0) 01582 470316 Registered office and operating address: 123 King Street, Luton, Bedford LU1 2XV</w:t>
            </w:r>
            <w:r>
              <w:br/>
              <w:t>Smithers Solicitors LLP is a partnership registered in England and Wales (OC123456) and is authorised and regulated by the Solicitors Regulation Authority (No. 123456)</w:t>
            </w:r>
            <w:r>
              <w:br/>
              <w:t>Officers of the practice are listed at Companies House VAT registration number 123456789</w:t>
            </w:r>
          </w:p>
        </w:tc>
        <w:tc>
          <w:tcPr>
            <w:tcW w:w="1000" w:type="dxa"/>
            <w:tcMar>
              <w:left w:w="54" w:type="dxa"/>
            </w:tcMar>
          </w:tcPr>
          <w:p w:rsidR="00982D1A" w:rsidRDefault="00982D1A" w:rsidP="00982D1A">
            <w:r>
              <w:rPr>
                <w:noProof/>
              </w:rPr>
              <w:drawing>
                <wp:inline distT="0" distB="0" distL="0" distR="0" wp14:anchorId="4BCC4A6B" wp14:editId="774FC468">
                  <wp:extent cx="1664795" cy="871416"/>
                  <wp:effectExtent l="0" t="0" r="0" b="0"/>
                  <wp:docPr id="638766003" name="Picture 63876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64795" cy="871416"/>
                          </a:xfrm>
                          <a:prstGeom prst="rect">
                            <a:avLst/>
                          </a:prstGeom>
                          <a:noFill/>
                          <a:ln>
                            <a:noFill/>
                          </a:ln>
                        </pic:spPr>
                      </pic:pic>
                    </a:graphicData>
                  </a:graphic>
                </wp:inline>
              </w:drawing>
            </w:r>
          </w:p>
        </w:tc>
      </w:tr>
    </w:tbl>
    <w:p w:rsidR="002E0060" w:rsidRDefault="002E0060"/>
    <w:sectPr w:rsidR="002E0060">
      <w:footerReference w:type="default" r:id="rId8"/>
      <w:pgSz w:w="11906" w:h="16838"/>
      <w:pgMar w:top="1693" w:right="1134" w:bottom="1693" w:left="1134" w:header="1134" w:footer="1134"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060" w:rsidRDefault="002E0060">
      <w:pPr>
        <w:spacing w:after="0" w:line="240" w:lineRule="auto"/>
      </w:pPr>
      <w:r>
        <w:separator/>
      </w:r>
    </w:p>
  </w:endnote>
  <w:endnote w:type="continuationSeparator" w:id="0">
    <w:p w:rsidR="002E0060" w:rsidRDefault="002E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7F6" w:rsidRDefault="00000000">
    <w:pPr>
      <w:pStyle w:val="Footer"/>
    </w:pPr>
    <w:r>
      <w:t>ND_EA/11215/UKCS_SW_J/12039</w:t>
    </w: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982D1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060" w:rsidRDefault="002E0060">
      <w:pPr>
        <w:spacing w:after="0" w:line="240" w:lineRule="auto"/>
      </w:pPr>
      <w:r>
        <w:separator/>
      </w:r>
    </w:p>
  </w:footnote>
  <w:footnote w:type="continuationSeparator" w:id="0">
    <w:p w:rsidR="002E0060" w:rsidRDefault="002E0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tTA1MDQxNjcAspR0lIJTi4sz8/NACgxrAWNnfOcsAAAA"/>
  </w:docVars>
  <w:rsids>
    <w:rsidRoot w:val="00E077F6"/>
    <w:rsid w:val="002E0060"/>
    <w:rsid w:val="006F2988"/>
    <w:rsid w:val="00982D1A"/>
    <w:rsid w:val="00E077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2E44A-F6D4-4E03-8A5E-95E6FB0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outlineLvl w:val="0"/>
    </w:pPr>
    <w:rPr>
      <w:b/>
      <w:color w:val="0F4761" w:themeColor="accent1" w:themeShade="BF"/>
      <w:sz w:val="38"/>
      <w:szCs w:val="38"/>
    </w:rPr>
  </w:style>
  <w:style w:type="paragraph" w:styleId="Heading2">
    <w:name w:val="heading 2"/>
    <w:link w:val="Heading2Char"/>
    <w:uiPriority w:val="9"/>
    <w:unhideWhenUsed/>
    <w:qFormat/>
    <w:pPr>
      <w:keepNext/>
      <w:keepLines/>
      <w:spacing w:before="40" w:after="0"/>
      <w:outlineLvl w:val="1"/>
    </w:pPr>
    <w:rPr>
      <w:b/>
      <w:color w:val="0F4761" w:themeColor="accent1" w:themeShade="BF"/>
      <w:sz w:val="26"/>
      <w:szCs w:val="26"/>
    </w:rPr>
  </w:style>
  <w:style w:type="paragraph" w:styleId="Heading3">
    <w:name w:val="heading 3"/>
    <w:link w:val="Heading3Char"/>
    <w:uiPriority w:val="9"/>
    <w:semiHidden/>
    <w:unhideWhenUsed/>
    <w:qFormat/>
    <w:pPr>
      <w:keepNext/>
      <w:keepLines/>
      <w:spacing w:before="40" w:after="0"/>
      <w:outlineLvl w:val="2"/>
    </w:pPr>
    <w:rPr>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contextualSpacing/>
    </w:pPr>
    <w:rPr>
      <w:spacing w:val="-10"/>
      <w:kern w:val="28"/>
      <w:sz w:val="56"/>
      <w:szCs w:val="56"/>
    </w:rPr>
  </w:style>
  <w:style w:type="character" w:customStyle="1" w:styleId="TitleChar">
    <w:name w:val="Title Char"/>
    <w:link w:val="Title"/>
    <w:uiPriority w:val="10"/>
    <w:rPr>
      <w:spacing w:val="-10"/>
      <w:kern w:val="28"/>
      <w:sz w:val="56"/>
      <w:szCs w:val="56"/>
    </w:rPr>
  </w:style>
  <w:style w:type="paragraph" w:styleId="Subtitle">
    <w:name w:val="Subtitle"/>
    <w:link w:val="SubtitleChar"/>
    <w:uiPriority w:val="11"/>
    <w:qFormat/>
    <w:pPr>
      <w:numPr>
        <w:ilvl w:val="1"/>
      </w:numPr>
    </w:pPr>
    <w:rPr>
      <w:color w:val="5A5A5A" w:themeColor="text1" w:themeTint="A5"/>
      <w:spacing w:val="15"/>
    </w:rPr>
  </w:style>
  <w:style w:type="character" w:customStyle="1" w:styleId="SubtitleChar">
    <w:name w:val="Subtitle Char"/>
    <w:link w:val="Subtitle"/>
    <w:uiPriority w:val="11"/>
    <w:rPr>
      <w:color w:val="5A5A5A" w:themeColor="text1" w:themeTint="A5"/>
      <w:spacing w:val="15"/>
    </w:rPr>
  </w:style>
  <w:style w:type="character" w:customStyle="1" w:styleId="Heading1Char">
    <w:name w:val="Heading 1 Char"/>
    <w:link w:val="Heading1"/>
    <w:uiPriority w:val="9"/>
    <w:rPr>
      <w:color w:val="0F4761" w:themeColor="accent1" w:themeShade="BF"/>
      <w:sz w:val="32"/>
      <w:szCs w:val="32"/>
    </w:rPr>
  </w:style>
  <w:style w:type="character" w:customStyle="1" w:styleId="Heading2Char">
    <w:name w:val="Heading 2 Char"/>
    <w:link w:val="Heading2"/>
    <w:uiPriority w:val="9"/>
    <w:rPr>
      <w:color w:val="0F4761" w:themeColor="accent1" w:themeShade="BF"/>
      <w:sz w:val="26"/>
      <w:szCs w:val="26"/>
    </w:rPr>
  </w:style>
  <w:style w:type="character" w:customStyle="1" w:styleId="Heading3Char">
    <w:name w:val="Heading 3 Char"/>
    <w:link w:val="Heading3"/>
    <w:uiPriority w:val="9"/>
    <w:rPr>
      <w:color w:val="0A2F40" w:themeColor="accent1" w:themeShade="7F"/>
      <w:sz w:val="24"/>
      <w:szCs w:val="24"/>
    </w:rPr>
  </w:style>
  <w:style w:type="paragraph" w:customStyle="1" w:styleId="FootnoteText1">
    <w:name w:val="Footnote Text1"/>
    <w:uiPriority w:val="60"/>
    <w:pPr>
      <w:tabs>
        <w:tab w:val="left" w:pos="0"/>
      </w:tabs>
      <w:spacing w:line="240" w:lineRule="auto"/>
      <w:ind w:left="220" w:hanging="220"/>
    </w:pPr>
    <w:rPr>
      <w:sz w:val="18"/>
      <w:szCs w:val="18"/>
    </w:rPr>
  </w:style>
  <w:style w:type="paragraph" w:styleId="FootnoteText">
    <w:name w:val="footnote text"/>
    <w:link w:val="FootnoteTextChar"/>
    <w:uiPriority w:val="99"/>
    <w:semiHidden/>
    <w:unhideWhenUsed/>
    <w:pPr>
      <w:spacing w:after="0" w:line="240" w:lineRule="auto"/>
    </w:pPr>
    <w:rPr>
      <w:color w:val="7F7F7F" w:themeColor="text1" w:themeTint="80"/>
      <w:sz w:val="18"/>
      <w:szCs w:val="18"/>
    </w:rPr>
  </w:style>
  <w:style w:type="paragraph" w:customStyle="1" w:styleId="a">
    <w:pPr>
      <w:jc w:val="center"/>
    </w:pPr>
    <w:rPr>
      <w:color w:val="222222"/>
      <w:sz w:val="38"/>
      <w:szCs w:val="38"/>
    </w:rPr>
  </w:style>
  <w:style w:type="paragraph" w:customStyle="1" w:styleId="a0">
    <w:pPr>
      <w:jc w:val="center"/>
    </w:pPr>
    <w:rPr>
      <w:color w:val="222222"/>
      <w:sz w:val="18"/>
      <w:szCs w:val="18"/>
    </w:rPr>
  </w:style>
  <w:style w:type="paragraph" w:customStyle="1" w:styleId="a1">
    <w:pPr>
      <w:spacing w:after="1000" w:line="240" w:lineRule="auto"/>
    </w:pPr>
    <w:rPr>
      <w:b/>
    </w:rPr>
  </w:style>
  <w:style w:type="paragraph" w:customStyle="1" w:styleId="a2">
    <w:uiPriority w:val="99"/>
    <w:pPr>
      <w:jc w:val="center"/>
    </w:pPr>
  </w:style>
  <w:style w:type="paragraph" w:customStyle="1" w:styleId="a3">
    <w:uiPriority w:val="99"/>
    <w:pPr>
      <w:jc w:val="right"/>
    </w:pPr>
  </w:style>
  <w:style w:type="paragraph" w:customStyle="1" w:styleId="a4">
    <w:uiPriority w:val="99"/>
    <w:rPr>
      <w:color w:val="FF0000"/>
    </w:rPr>
  </w:style>
  <w:style w:type="paragraph" w:customStyle="1" w:styleId="a5">
    <w:rPr>
      <w:u w:val="single"/>
    </w:rPr>
  </w:style>
  <w:style w:type="character" w:customStyle="1" w:styleId="FootnoteTextChar">
    <w:name w:val="Footnote Text Char"/>
    <w:link w:val="FootnoteText"/>
    <w:uiPriority w:val="99"/>
    <w:semiHidden/>
    <w:rPr>
      <w:sz w:val="18"/>
      <w:szCs w:val="18"/>
    </w:rPr>
  </w:style>
  <w:style w:type="character" w:styleId="FootnoteReference">
    <w:name w:val="footnote reference"/>
    <w:uiPriority w:val="99"/>
    <w:semiHidden/>
    <w:unhideWhenUsed/>
    <w:rPr>
      <w:vertAlign w:val="superscript"/>
    </w:rPr>
  </w:style>
  <w:style w:type="paragraph" w:styleId="Header">
    <w:name w:val="header"/>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ListParagraph">
    <w:name w:val="List Paragraph"/>
    <w:uiPriority w:val="34"/>
    <w:qFormat/>
    <w:pPr>
      <w:spacing w:after="240"/>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467886" w:themeColor="hyperlink"/>
      <w:u w:val="single"/>
    </w:rPr>
  </w:style>
  <w:style w:type="character" w:customStyle="1" w:styleId="SpanSerifHeading-1">
    <w:name w:val="SpanSerifHeading-1"/>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link w:val="BalloonTextChar"/>
    <w:uiPriority w:val="99"/>
    <w:semiHidden/>
    <w:unhideWhenUsed/>
    <w:rsid w:val="00251706"/>
    <w:pPr>
      <w:spacing w:after="0" w:line="240" w:lineRule="auto"/>
    </w:pPr>
    <w:rPr>
      <w:sz w:val="18"/>
      <w:szCs w:val="18"/>
    </w:rPr>
  </w:style>
  <w:style w:type="character" w:customStyle="1" w:styleId="BalloonTextChar">
    <w:name w:val="Balloon Text Char"/>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 Law</dc:creator>
  <dc:description>Nationality Report</dc:description>
  <cp:lastModifiedBy>Rob Love</cp:lastModifiedBy>
  <cp:revision>3</cp:revision>
  <dcterms:created xsi:type="dcterms:W3CDTF">2017-01-06T11:27:00Z</dcterms:created>
  <dcterms:modified xsi:type="dcterms:W3CDTF">2025-06-24T17:09:00Z</dcterms:modified>
  <dc:language>en-GB</dc:language>
</cp:coreProperties>
</file>