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9500" w:type="dxa"/>
        <w:tblInd w:w="109" w:type="dxa"/>
        <w:tblLook w:val="04A0" w:firstRow="1" w:lastRow="0" w:firstColumn="1" w:lastColumn="0" w:noHBand="0" w:noVBand="1"/>
      </w:tblPr>
      <w:tblGrid>
        <w:gridCol w:w="5500"/>
        <w:gridCol w:w="4000"/>
      </w:tblGrid>
      <w:tr w:rsidR="00D92AF9" w14:paraId="46CA3EFF" w14:textId="77777777" w:rsidTr="00D92A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0" w:type="dxa"/>
          </w:tcPr>
          <w:p w14:paraId="7F185816" w14:textId="77777777" w:rsidR="00D92AF9" w:rsidRDefault="00D92AF9" w:rsidP="00D477A9">
            <w:r>
              <w:t>Smithers Solicitors LLP</w:t>
            </w:r>
            <w:r>
              <w:br/>
              <w:t>123 King Street</w:t>
            </w:r>
            <w:r>
              <w:br/>
              <w:t>Luton</w:t>
            </w:r>
            <w:r>
              <w:br/>
              <w:t>Bedford</w:t>
            </w:r>
            <w:r>
              <w:br/>
              <w:t>LU1 2VZ</w:t>
            </w:r>
          </w:p>
        </w:tc>
        <w:tc>
          <w:tcPr>
            <w:tcW w:w="4000" w:type="dxa"/>
          </w:tcPr>
          <w:p w14:paraId="63F8470A" w14:textId="77777777" w:rsidR="00D92AF9" w:rsidRDefault="00D92AF9" w:rsidP="00D477A9">
            <w:pPr>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6E3AC9DC" wp14:editId="605EDC27">
                  <wp:extent cx="1664795" cy="982013"/>
                  <wp:effectExtent l="0" t="0" r="0" b="0"/>
                  <wp:docPr id="2" name="Picture 2" descr="A blue and black sign with a sca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black sign with a scale&#10;&#10;AI-generated content may be incorrect."/>
                          <pic:cNvPicPr>
                            <a:picLocks noChangeAspect="1" noChangeArrowheads="1"/>
                          </pic:cNvPicPr>
                        </pic:nvPicPr>
                        <pic:blipFill>
                          <a:blip r:embed="rId6" cstate="print"/>
                          <a:srcRect/>
                          <a:stretch>
                            <a:fillRect/>
                          </a:stretch>
                        </pic:blipFill>
                        <pic:spPr bwMode="auto">
                          <a:xfrm>
                            <a:off x="0" y="0"/>
                            <a:ext cx="1664795" cy="982013"/>
                          </a:xfrm>
                          <a:prstGeom prst="rect">
                            <a:avLst/>
                          </a:prstGeom>
                          <a:noFill/>
                          <a:ln>
                            <a:noFill/>
                          </a:ln>
                        </pic:spPr>
                      </pic:pic>
                    </a:graphicData>
                  </a:graphic>
                </wp:inline>
              </w:drawing>
            </w:r>
          </w:p>
        </w:tc>
      </w:tr>
      <w:tr w:rsidR="00117B12" w14:paraId="6FE061BD" w14:textId="77777777" w:rsidTr="00D92AF9">
        <w:tblPrEx>
          <w:tblCellMar>
            <w:top w:w="55" w:type="dxa"/>
            <w:left w:w="54" w:type="dxa"/>
            <w:bottom w:w="55" w:type="dxa"/>
            <w:right w:w="55" w:type="dxa"/>
          </w:tblCellMar>
          <w:tblLook w:val="0600" w:firstRow="0" w:lastRow="0" w:firstColumn="0" w:lastColumn="0" w:noHBand="1" w:noVBand="1"/>
        </w:tblPrEx>
        <w:tc>
          <w:tcPr>
            <w:tcW w:w="5500" w:type="dxa"/>
            <w:tcMar>
              <w:left w:w="54" w:type="dxa"/>
            </w:tcMar>
          </w:tcPr>
          <w:p w14:paraId="57DF99D9" w14:textId="77777777" w:rsidR="00117B12" w:rsidRDefault="00000000">
            <w:r>
              <w:t>Mr J. Nguyen,</w:t>
            </w:r>
            <w:r>
              <w:br/>
              <w:t>Spring Industries</w:t>
            </w:r>
            <w:r>
              <w:br/>
              <w:t>29 Gibbins Road,</w:t>
            </w:r>
            <w:r>
              <w:br/>
              <w:t>Birmingham,</w:t>
            </w:r>
            <w:r>
              <w:br/>
              <w:t>B2 9E2,</w:t>
            </w:r>
            <w:r>
              <w:br/>
              <w:t>United Kingdom</w:t>
            </w:r>
          </w:p>
        </w:tc>
        <w:tc>
          <w:tcPr>
            <w:tcW w:w="4000" w:type="dxa"/>
            <w:tcMar>
              <w:left w:w="54" w:type="dxa"/>
            </w:tcMar>
          </w:tcPr>
          <w:p w14:paraId="381DF22C" w14:textId="77777777" w:rsidR="00117B12" w:rsidRDefault="00000000">
            <w:r>
              <w:t>Date:    24 June 2025</w:t>
            </w:r>
            <w:r>
              <w:br/>
              <w:t xml:space="preserve">Our Ref:    </w:t>
            </w:r>
          </w:p>
        </w:tc>
      </w:tr>
    </w:tbl>
    <w:p w14:paraId="0E12951C" w14:textId="77777777" w:rsidR="00117B12" w:rsidRDefault="00000000">
      <w:pPr>
        <w:pStyle w:val="Heading1"/>
        <w:spacing w:before="240" w:after="120"/>
        <w:jc w:val="center"/>
      </w:pPr>
      <w:r>
        <w:t>JOB AND SALARY ELIGIBILITY REPORT FOR SKILLED WORKER VACANCY</w:t>
      </w:r>
    </w:p>
    <w:p w14:paraId="79EF19FA" w14:textId="77777777" w:rsidR="00117B12" w:rsidRDefault="00000000">
      <w:pPr>
        <w:pStyle w:val="Heading3"/>
        <w:spacing w:before="240" w:after="120"/>
        <w:jc w:val="center"/>
      </w:pPr>
      <w:r>
        <w:t>Dental practitioners (2253)</w:t>
      </w:r>
      <w:r>
        <w:br/>
        <w:t>£90000.00 per annum</w:t>
      </w:r>
      <w:r>
        <w:tab/>
        <w:t xml:space="preserve"> 40 hours per week </w:t>
      </w:r>
    </w:p>
    <w:p w14:paraId="64C47E9C" w14:textId="77777777" w:rsidR="00117B12" w:rsidRDefault="00000000">
      <w:r>
        <w:t>Dear Mr Nguyen,</w:t>
      </w:r>
    </w:p>
    <w:p w14:paraId="613A0B00" w14:textId="77777777" w:rsidR="00117B12" w:rsidRDefault="00000000">
      <w:r>
        <w:t>Based on the information we have seen, on 24 June 2025 the intended Job and Salary were</w:t>
      </w:r>
      <w:r>
        <w:rPr>
          <w:b/>
        </w:rPr>
        <w:t xml:space="preserve"> eligible </w:t>
      </w:r>
      <w:r>
        <w:t>and able to be used for a Defined Certificate of Sponsorship application, as set out in “Legal Requirements for Job and Salary” below. Please check that the details listed under “Summary of Information Provided” are consistent with your understanding of the job and salary to be offered.</w:t>
      </w:r>
    </w:p>
    <w:p w14:paraId="0AC4E129" w14:textId="77777777" w:rsidR="00117B12" w:rsidRDefault="00000000">
      <w:pPr>
        <w:pStyle w:val="Heading2"/>
        <w:spacing w:before="240" w:after="120"/>
      </w:pPr>
      <w:r>
        <w:br/>
        <w:t>Summary of Information Provided</w:t>
      </w:r>
    </w:p>
    <w:p w14:paraId="3DFE936C" w14:textId="77777777" w:rsidR="00117B12" w:rsidRDefault="00000000">
      <w:r>
        <w:rPr>
          <w:b/>
        </w:rPr>
        <w:t>It is crucial to the correctness of this outcome, the success of the application, and for any subsequent audits by the Home Office, that the following data is consistent with the intended duties and responsibilities attached to the role:</w:t>
      </w:r>
    </w:p>
    <w:tbl>
      <w:tblPr>
        <w:tblStyle w:val="TableGrid"/>
        <w:tblW w:w="9500" w:type="dxa"/>
        <w:tblInd w:w="55" w:type="dxa"/>
        <w:tblCellMar>
          <w:top w:w="55" w:type="dxa"/>
          <w:left w:w="54" w:type="dxa"/>
          <w:bottom w:w="55" w:type="dxa"/>
          <w:right w:w="55" w:type="dxa"/>
        </w:tblCellMar>
        <w:tblLook w:val="0600" w:firstRow="0" w:lastRow="0" w:firstColumn="0" w:lastColumn="0" w:noHBand="1" w:noVBand="1"/>
      </w:tblPr>
      <w:tblGrid>
        <w:gridCol w:w="4750"/>
        <w:gridCol w:w="4750"/>
      </w:tblGrid>
      <w:tr w:rsidR="00117B12" w14:paraId="2C65392F" w14:textId="77777777">
        <w:tc>
          <w:tcPr>
            <w:tcW w:w="4750" w:type="dxa"/>
            <w:tcMar>
              <w:left w:w="54" w:type="dxa"/>
            </w:tcMar>
          </w:tcPr>
          <w:p w14:paraId="6A6A728B" w14:textId="77777777" w:rsidR="00117B12" w:rsidRDefault="00000000">
            <w:pPr>
              <w:rPr>
                <w:b/>
              </w:rPr>
            </w:pPr>
            <w:r>
              <w:rPr>
                <w:b/>
              </w:rPr>
              <w:t>In Job Description</w:t>
            </w:r>
          </w:p>
        </w:tc>
        <w:tc>
          <w:tcPr>
            <w:tcW w:w="4750" w:type="dxa"/>
            <w:tcMar>
              <w:left w:w="54" w:type="dxa"/>
            </w:tcMar>
          </w:tcPr>
          <w:p w14:paraId="10B9364F" w14:textId="77777777" w:rsidR="00117B12" w:rsidRDefault="00000000">
            <w:pPr>
              <w:rPr>
                <w:b/>
              </w:rPr>
            </w:pPr>
            <w:r>
              <w:rPr>
                <w:b/>
              </w:rPr>
              <w:t>ONS Data selected in the evaluation</w:t>
            </w:r>
          </w:p>
        </w:tc>
      </w:tr>
      <w:tr w:rsidR="00117B12" w14:paraId="614C4A81" w14:textId="77777777">
        <w:tc>
          <w:tcPr>
            <w:tcW w:w="4750" w:type="dxa"/>
            <w:tcMar>
              <w:left w:w="54" w:type="dxa"/>
            </w:tcMar>
          </w:tcPr>
          <w:p w14:paraId="424F9AAA" w14:textId="77777777" w:rsidR="00117B12" w:rsidRDefault="00000000">
            <w:r>
              <w:rPr>
                <w:b/>
              </w:rPr>
              <w:t xml:space="preserve">Occupation Code: </w:t>
            </w:r>
            <w:r>
              <w:t xml:space="preserve"> 2253</w:t>
            </w:r>
          </w:p>
        </w:tc>
        <w:tc>
          <w:tcPr>
            <w:tcW w:w="4750" w:type="dxa"/>
            <w:tcMar>
              <w:left w:w="54" w:type="dxa"/>
            </w:tcMar>
          </w:tcPr>
          <w:p w14:paraId="02ED3664" w14:textId="77777777" w:rsidR="00117B12" w:rsidRDefault="00000000">
            <w:r>
              <w:rPr>
                <w:b/>
              </w:rPr>
              <w:t xml:space="preserve">Occupation Code: </w:t>
            </w:r>
            <w:r>
              <w:t xml:space="preserve"> 2253</w:t>
            </w:r>
          </w:p>
        </w:tc>
      </w:tr>
      <w:tr w:rsidR="00117B12" w14:paraId="14926000" w14:textId="77777777">
        <w:tc>
          <w:tcPr>
            <w:tcW w:w="4750" w:type="dxa"/>
            <w:tcMar>
              <w:left w:w="54" w:type="dxa"/>
            </w:tcMar>
          </w:tcPr>
          <w:p w14:paraId="46D32F33" w14:textId="77777777" w:rsidR="00117B12" w:rsidRDefault="00000000">
            <w:r>
              <w:rPr>
                <w:b/>
              </w:rPr>
              <w:t xml:space="preserve">Job title: </w:t>
            </w:r>
            <w:r>
              <w:t xml:space="preserve"> Periodontist</w:t>
            </w:r>
          </w:p>
        </w:tc>
        <w:tc>
          <w:tcPr>
            <w:tcW w:w="4750" w:type="dxa"/>
            <w:tcMar>
              <w:left w:w="54" w:type="dxa"/>
            </w:tcMar>
          </w:tcPr>
          <w:p w14:paraId="2EC69D6E" w14:textId="77777777" w:rsidR="00117B12" w:rsidRDefault="00000000">
            <w:r>
              <w:rPr>
                <w:b/>
              </w:rPr>
              <w:t xml:space="preserve">Job type: </w:t>
            </w:r>
            <w:r>
              <w:t xml:space="preserve"> Dental practitioners</w:t>
            </w:r>
          </w:p>
        </w:tc>
      </w:tr>
      <w:tr w:rsidR="00117B12" w14:paraId="0AD540DA" w14:textId="77777777">
        <w:tc>
          <w:tcPr>
            <w:tcW w:w="4750" w:type="dxa"/>
            <w:tcMar>
              <w:left w:w="54" w:type="dxa"/>
            </w:tcMar>
          </w:tcPr>
          <w:p w14:paraId="4E79AE13" w14:textId="77777777" w:rsidR="00117B12" w:rsidRDefault="00000000">
            <w:r>
              <w:rPr>
                <w:b/>
              </w:rPr>
              <w:t xml:space="preserve">Related job title: </w:t>
            </w:r>
            <w:r>
              <w:t xml:space="preserve"> Periodontist</w:t>
            </w:r>
          </w:p>
        </w:tc>
        <w:tc>
          <w:tcPr>
            <w:tcW w:w="4750" w:type="dxa"/>
            <w:tcMar>
              <w:left w:w="54" w:type="dxa"/>
            </w:tcMar>
          </w:tcPr>
          <w:p w14:paraId="2D17F315" w14:textId="77777777" w:rsidR="00117B12" w:rsidRDefault="00000000">
            <w:r>
              <w:rPr>
                <w:b/>
              </w:rPr>
              <w:t xml:space="preserve">Related job title chosen: </w:t>
            </w:r>
            <w:r>
              <w:t xml:space="preserve"> Periodontist</w:t>
            </w:r>
          </w:p>
        </w:tc>
      </w:tr>
      <w:tr w:rsidR="00117B12" w14:paraId="68F1DCBC" w14:textId="77777777">
        <w:tc>
          <w:tcPr>
            <w:tcW w:w="4750" w:type="dxa"/>
            <w:tcMar>
              <w:left w:w="54" w:type="dxa"/>
            </w:tcMar>
          </w:tcPr>
          <w:p w14:paraId="3225A4F7" w14:textId="77777777" w:rsidR="00117B12" w:rsidRDefault="00000000">
            <w:r>
              <w:rPr>
                <w:b/>
              </w:rPr>
              <w:t xml:space="preserve">Job description: </w:t>
            </w:r>
            <w:r>
              <w:t xml:space="preserve"> Specializes in the prevention, diagnosis, and treatment of periodontal disease (a chronic inflammatory disease that affects the gums and bone supporting the teeth also known as gum disease), and in the placement of dental implants.</w:t>
            </w:r>
          </w:p>
        </w:tc>
        <w:tc>
          <w:tcPr>
            <w:tcW w:w="4750" w:type="dxa"/>
            <w:tcMar>
              <w:left w:w="54" w:type="dxa"/>
            </w:tcMar>
          </w:tcPr>
          <w:p w14:paraId="6936734A" w14:textId="77777777" w:rsidR="00117B12" w:rsidRDefault="00000000">
            <w:r>
              <w:rPr>
                <w:b/>
              </w:rPr>
              <w:t xml:space="preserve">Job description: </w:t>
            </w:r>
            <w:r>
              <w:t xml:space="preserve"> Dental practitioners diagnose dental and oral diseases, injuries and disorders, prescribe and administer treatment, recommend preventative action and, where necessary, refer the patient to a specialist. </w:t>
            </w:r>
            <w:r>
              <w:br/>
            </w:r>
            <w:r>
              <w:rPr>
                <w:b/>
              </w:rPr>
              <w:t xml:space="preserve">Tasks required: </w:t>
            </w:r>
            <w:r>
              <w:t xml:space="preserve">Examines patient’s teeth, gums and jaw, using dental and x-ray equipment, diagnoses dental conditions. Assesses and recommends treatment options to patients. </w:t>
            </w:r>
            <w:r>
              <w:lastRenderedPageBreak/>
              <w:t>Administers local anaesthetics. Carries out clinical treatments, restores teeth affected by decay etc., treats gum disease and other disorders. Constructs and fits braces, inlays, dentures and other appliances. Supervises patient’s progress and advises on preventative action. Educates patients on oral health care. Refers patient to specialist, where necessary. Maintains patients’ dental health records. Prepares and delivers lectures, undertakes research, and conducts and participates in clinical trials.</w:t>
            </w:r>
          </w:p>
        </w:tc>
      </w:tr>
      <w:tr w:rsidR="00117B12" w14:paraId="312C1E62" w14:textId="77777777">
        <w:tc>
          <w:tcPr>
            <w:tcW w:w="4750" w:type="dxa"/>
            <w:tcMar>
              <w:left w:w="54" w:type="dxa"/>
            </w:tcMar>
          </w:tcPr>
          <w:p w14:paraId="21AE05FE" w14:textId="77777777" w:rsidR="00117B12" w:rsidRDefault="00000000">
            <w:r>
              <w:rPr>
                <w:b/>
              </w:rPr>
              <w:lastRenderedPageBreak/>
              <w:t xml:space="preserve">Salary: </w:t>
            </w:r>
            <w:r>
              <w:t xml:space="preserve"> £90000.00 per annum </w:t>
            </w:r>
          </w:p>
        </w:tc>
        <w:tc>
          <w:tcPr>
            <w:tcW w:w="4750" w:type="dxa"/>
            <w:tcMar>
              <w:left w:w="54" w:type="dxa"/>
            </w:tcMar>
          </w:tcPr>
          <w:p w14:paraId="2C28B81E" w14:textId="77777777" w:rsidR="00117B12" w:rsidRDefault="00000000">
            <w:r>
              <w:rPr>
                <w:b/>
              </w:rPr>
              <w:t xml:space="preserve">Grade: </w:t>
            </w:r>
            <w:r>
              <w:t xml:space="preserve"> Clinical Director (37.5-hour week) </w:t>
            </w:r>
          </w:p>
        </w:tc>
      </w:tr>
      <w:tr w:rsidR="00117B12" w14:paraId="31DC159D" w14:textId="77777777">
        <w:tc>
          <w:tcPr>
            <w:tcW w:w="4750" w:type="dxa"/>
            <w:tcMar>
              <w:left w:w="54" w:type="dxa"/>
            </w:tcMar>
          </w:tcPr>
          <w:p w14:paraId="04965405" w14:textId="77777777" w:rsidR="00117B12" w:rsidRDefault="00000000">
            <w:r>
              <w:rPr>
                <w:b/>
              </w:rPr>
              <w:t xml:space="preserve">Hours per week: </w:t>
            </w:r>
            <w:r>
              <w:t xml:space="preserve"> 40 </w:t>
            </w:r>
          </w:p>
        </w:tc>
        <w:tc>
          <w:tcPr>
            <w:tcW w:w="4750" w:type="dxa"/>
            <w:tcMar>
              <w:left w:w="54" w:type="dxa"/>
            </w:tcMar>
          </w:tcPr>
          <w:p w14:paraId="1622030F" w14:textId="77777777" w:rsidR="00117B12" w:rsidRDefault="00000000">
            <w:r>
              <w:rPr>
                <w:b/>
              </w:rPr>
              <w:t xml:space="preserve">Standard Hours per Week: </w:t>
            </w:r>
            <w:r>
              <w:t xml:space="preserve"> 37 </w:t>
            </w:r>
          </w:p>
        </w:tc>
      </w:tr>
    </w:tbl>
    <w:p w14:paraId="63360698" w14:textId="77777777" w:rsidR="00117B12" w:rsidRDefault="00000000">
      <w:pPr>
        <w:pStyle w:val="Heading2"/>
        <w:spacing w:before="240" w:after="120"/>
      </w:pPr>
      <w:r>
        <w:br/>
        <w:t>Legal Requirements for Job and Salary</w:t>
      </w:r>
    </w:p>
    <w:p w14:paraId="2AA7D7E7" w14:textId="77777777" w:rsidR="00117B12" w:rsidRDefault="00000000">
      <w:r>
        <w:t>The Eligibility Requirements for sponsorship in Appendix SW 5 were met, as the sponsor was authorised by the Home Office to sponsor Skilled Workers and was A-rated. The intended job genuinely existed within the sponsor workforce and was not for provision of services to a third party. The job title was “Periodontist” and the job description was “Specializes in the prevention, diagnosis, and treatment of periodontal disease (a chronic inflammatory disease that affects the gums and bone supporting the teeth also known as gum disease), and in the placement of dental implants.”.</w:t>
      </w:r>
      <w:r>
        <w:br/>
      </w:r>
      <w:r>
        <w:br/>
        <w:t xml:space="preserve">The Eligibility Requirements for sponsorship in Appendix SW 6 were met. The occupation code chosen (2253) was an exact match to a code in the occupation list. The job title was “Periodontist”, and “Periodontist” is a title related to the occupation code. </w:t>
      </w:r>
      <w:r>
        <w:br/>
      </w:r>
      <w:r>
        <w:br/>
        <w:t xml:space="preserve">The job met the Eligibility Requirements in Appendix SW 4.2 under Option K, as set out below. </w:t>
      </w:r>
      <w:r>
        <w:br/>
      </w:r>
      <w:r>
        <w:br/>
        <w:t>The job met the Eligibility Requirements in Appendix SW 13 (Option K). The occupation code of the intended job was 2253, which is listed in Table 3. The job is located in Northern Ireland. Under the job offer the guaranteed gross pay is £90000.00 per year and 40 hours per week must be worked, so the salary equates to £43.27 per hour. The offered pay equals or exceeds all applicable minima: The annual salary of £90,000.00 (unadjusted) is more than the minimum for option K (£25,000 per year)​ and the annual salary is more than £89,784.86 (the going rate for the occupation code (£83,051)​ scaled to the number of weekly working hours).</w:t>
      </w:r>
    </w:p>
    <w:p w14:paraId="041274DD" w14:textId="77777777" w:rsidR="00117B12" w:rsidRDefault="00000000">
      <w:pPr>
        <w:pStyle w:val="Heading2"/>
        <w:spacing w:before="240" w:after="120"/>
      </w:pPr>
      <w:r>
        <w:br/>
        <w:t>Next Steps</w:t>
      </w:r>
    </w:p>
    <w:p w14:paraId="531A01C0" w14:textId="77777777" w:rsidR="00117B12" w:rsidRDefault="00000000">
      <w:r>
        <w:t>If you wish to proceed, the next step is to apply for a Defined Certificate of Sponsorship using the Sponsor Management System, with the Job and Salary information provided. See the “Application for Certificate of Sponsorship” to view the specific Job and Salary information that will be used in the Defined CoS application form.</w:t>
      </w:r>
    </w:p>
    <w:p w14:paraId="27C1F6D2" w14:textId="77777777" w:rsidR="00117B12" w:rsidRDefault="00000000">
      <w:r>
        <w:lastRenderedPageBreak/>
        <w:br/>
        <w:t>If you have any concerns or queries, do not hesitate to contact us.</w:t>
      </w:r>
    </w:p>
    <w:p w14:paraId="5726A87C" w14:textId="77777777" w:rsidR="00117B12" w:rsidRDefault="00000000">
      <w:r>
        <w:t>Yours sincerely,</w:t>
      </w:r>
      <w:r>
        <w:br/>
      </w:r>
    </w:p>
    <w:tbl>
      <w:tblPr>
        <w:tblStyle w:val="PlainTable4"/>
        <w:tblpPr w:tblpYSpec="bottom"/>
        <w:tblW w:w="10000" w:type="dxa"/>
        <w:tblCellMar>
          <w:top w:w="55" w:type="dxa"/>
          <w:left w:w="54" w:type="dxa"/>
          <w:bottom w:w="55" w:type="dxa"/>
          <w:right w:w="55" w:type="dxa"/>
        </w:tblCellMar>
        <w:tblLook w:val="0600" w:firstRow="0" w:lastRow="0" w:firstColumn="0" w:lastColumn="0" w:noHBand="1" w:noVBand="1"/>
      </w:tblPr>
      <w:tblGrid>
        <w:gridCol w:w="6500"/>
        <w:gridCol w:w="3500"/>
      </w:tblGrid>
      <w:tr w:rsidR="00D92AF9" w14:paraId="4D108270" w14:textId="77777777" w:rsidTr="00D477A9">
        <w:tc>
          <w:tcPr>
            <w:tcW w:w="6500" w:type="dxa"/>
            <w:tcMar>
              <w:left w:w="54" w:type="dxa"/>
            </w:tcMar>
          </w:tcPr>
          <w:p w14:paraId="52BAF108" w14:textId="77777777" w:rsidR="00D92AF9" w:rsidRDefault="00D92AF9" w:rsidP="00D477A9">
            <w:pPr>
              <w:pStyle w:val="FootnoteText"/>
            </w:pPr>
            <w:r>
              <w:rPr>
                <w:b/>
              </w:rPr>
              <w:t>Smithers Solicitors LLP</w:t>
            </w:r>
            <w:r>
              <w:br/>
              <w:t>Telephone: +44 (0) 01582 470316 Registered office and operating address: 123 King Street, Luton, Bedford LU1 2XV</w:t>
            </w:r>
            <w:r>
              <w:br/>
              <w:t>Smithers Solicitors LLP is a partnership registered in England and Wales (OC123456) and is authorised and regulated by the Solicitors Regulation Authority (No. 123456)</w:t>
            </w:r>
            <w:r>
              <w:br/>
              <w:t>Officers of the practice are listed at Companies House VAT registration number 123456789</w:t>
            </w:r>
          </w:p>
        </w:tc>
        <w:tc>
          <w:tcPr>
            <w:tcW w:w="3500" w:type="dxa"/>
            <w:tcMar>
              <w:left w:w="54" w:type="dxa"/>
            </w:tcMar>
          </w:tcPr>
          <w:p w14:paraId="68BD9BD7" w14:textId="77777777" w:rsidR="00D92AF9" w:rsidRDefault="00D92AF9" w:rsidP="00D477A9">
            <w:r>
              <w:rPr>
                <w:noProof/>
              </w:rPr>
              <w:drawing>
                <wp:inline distT="0" distB="0" distL="0" distR="0" wp14:anchorId="0D68DBC8" wp14:editId="30BFB024">
                  <wp:extent cx="1664795" cy="871416"/>
                  <wp:effectExtent l="0" t="0" r="0" b="0"/>
                  <wp:docPr id="638766003" name="Picture 638766003" descr="A logo with a arrow and an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766003" name="Picture 638766003" descr="A logo with a arrow and an arrow&#10;&#10;AI-generated content may be incorrect."/>
                          <pic:cNvPicPr>
                            <a:picLocks noChangeAspect="1" noChangeArrowheads="1"/>
                          </pic:cNvPicPr>
                        </pic:nvPicPr>
                        <pic:blipFill>
                          <a:blip r:embed="rId7" cstate="print"/>
                          <a:srcRect/>
                          <a:stretch>
                            <a:fillRect/>
                          </a:stretch>
                        </pic:blipFill>
                        <pic:spPr bwMode="auto">
                          <a:xfrm>
                            <a:off x="0" y="0"/>
                            <a:ext cx="1664795" cy="871416"/>
                          </a:xfrm>
                          <a:prstGeom prst="rect">
                            <a:avLst/>
                          </a:prstGeom>
                          <a:noFill/>
                          <a:ln>
                            <a:noFill/>
                          </a:ln>
                        </pic:spPr>
                      </pic:pic>
                    </a:graphicData>
                  </a:graphic>
                </wp:inline>
              </w:drawing>
            </w:r>
          </w:p>
        </w:tc>
      </w:tr>
    </w:tbl>
    <w:p w14:paraId="60519C8A" w14:textId="77777777" w:rsidR="00B37A46" w:rsidRDefault="00B37A46"/>
    <w:sectPr w:rsidR="00B37A46">
      <w:footerReference w:type="default" r:id="rId8"/>
      <w:pgSz w:w="11906" w:h="16838"/>
      <w:pgMar w:top="1693" w:right="1134" w:bottom="1693" w:left="1134" w:header="1134" w:footer="1134" w:gutter="0"/>
      <w:pgNumType w:start="1"/>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5EF81" w14:textId="77777777" w:rsidR="00B37A46" w:rsidRDefault="00B37A46">
      <w:pPr>
        <w:spacing w:after="0" w:line="240" w:lineRule="auto"/>
      </w:pPr>
      <w:r>
        <w:separator/>
      </w:r>
    </w:p>
  </w:endnote>
  <w:endnote w:type="continuationSeparator" w:id="0">
    <w:p w14:paraId="3C3139A7" w14:textId="77777777" w:rsidR="00B37A46" w:rsidRDefault="00B37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1AF2" w14:textId="5C017F0B" w:rsidR="00117B12" w:rsidRDefault="00000000">
    <w:pPr>
      <w:pStyle w:val="Footer"/>
    </w:pPr>
    <w:r>
      <w:t>ND_EA/11218/UKCS_SW_J/12045</w:t>
    </w:r>
    <w:r>
      <w:tab/>
    </w:r>
    <w:r>
      <w:tab/>
      <w:t xml:space="preserve">Page </w:t>
    </w:r>
    <w:r>
      <w:fldChar w:fldCharType="begin"/>
    </w:r>
    <w:r>
      <w:instrText xml:space="preserve"> PAGE   \* MERGEFORMAT </w:instrText>
    </w:r>
    <w:r>
      <w:fldChar w:fldCharType="separate"/>
    </w:r>
    <w:r>
      <w:rPr>
        <w:noProof/>
      </w:rPr>
      <w:t>1</w:t>
    </w:r>
    <w:r>
      <w:fldChar w:fldCharType="end"/>
    </w:r>
    <w:r>
      <w:t xml:space="preserve"> of </w:t>
    </w:r>
    <w:fldSimple w:instr=" SECTIONPAGES   \* MERGEFORMAT ">
      <w:r w:rsidR="00D92AF9">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3C6B4" w14:textId="77777777" w:rsidR="00B37A46" w:rsidRDefault="00B37A46">
      <w:pPr>
        <w:spacing w:after="0" w:line="240" w:lineRule="auto"/>
      </w:pPr>
      <w:r>
        <w:separator/>
      </w:r>
    </w:p>
  </w:footnote>
  <w:footnote w:type="continuationSeparator" w:id="0">
    <w:p w14:paraId="09F189E0" w14:textId="77777777" w:rsidR="00B37A46" w:rsidRDefault="00B37A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UytTAzsDQ3MLSwNLVU0lEKTi0uzszPAykwrAUAQ6EMziwAAAA="/>
  </w:docVars>
  <w:rsids>
    <w:rsidRoot w:val="00117B12"/>
    <w:rsid w:val="00117B12"/>
    <w:rsid w:val="006F2988"/>
    <w:rsid w:val="00B37A46"/>
    <w:rsid w:val="00D92AF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C401D"/>
  <w15:docId w15:val="{9D92E44A-F6D4-4E03-8A5E-95E6FB04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Light" w:eastAsiaTheme="minorEastAsia" w:hAnsi="Aptos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keepNext/>
      <w:keepLines/>
      <w:outlineLvl w:val="0"/>
    </w:pPr>
    <w:rPr>
      <w:b/>
      <w:color w:val="0F4761" w:themeColor="accent1" w:themeShade="BF"/>
      <w:sz w:val="38"/>
      <w:szCs w:val="38"/>
    </w:rPr>
  </w:style>
  <w:style w:type="paragraph" w:styleId="Heading2">
    <w:name w:val="heading 2"/>
    <w:link w:val="Heading2Char"/>
    <w:uiPriority w:val="9"/>
    <w:unhideWhenUsed/>
    <w:qFormat/>
    <w:pPr>
      <w:keepNext/>
      <w:keepLines/>
      <w:spacing w:before="40" w:after="0"/>
      <w:outlineLvl w:val="1"/>
    </w:pPr>
    <w:rPr>
      <w:b/>
      <w:color w:val="0F4761" w:themeColor="accent1" w:themeShade="BF"/>
      <w:sz w:val="26"/>
      <w:szCs w:val="26"/>
    </w:rPr>
  </w:style>
  <w:style w:type="paragraph" w:styleId="Heading3">
    <w:name w:val="heading 3"/>
    <w:link w:val="Heading3Char"/>
    <w:uiPriority w:val="9"/>
    <w:semiHidden/>
    <w:unhideWhenUsed/>
    <w:qFormat/>
    <w:pPr>
      <w:keepNext/>
      <w:keepLines/>
      <w:spacing w:before="40" w:after="0"/>
      <w:outlineLvl w:val="2"/>
    </w:pPr>
    <w:rPr>
      <w:b/>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pPr>
      <w:spacing w:after="0" w:line="240" w:lineRule="auto"/>
      <w:contextualSpacing/>
    </w:pPr>
    <w:rPr>
      <w:spacing w:val="-10"/>
      <w:kern w:val="28"/>
      <w:sz w:val="56"/>
      <w:szCs w:val="56"/>
    </w:rPr>
  </w:style>
  <w:style w:type="character" w:customStyle="1" w:styleId="TitleChar">
    <w:name w:val="Title Char"/>
    <w:link w:val="Title"/>
    <w:uiPriority w:val="10"/>
    <w:rPr>
      <w:spacing w:val="-10"/>
      <w:kern w:val="28"/>
      <w:sz w:val="56"/>
      <w:szCs w:val="56"/>
    </w:rPr>
  </w:style>
  <w:style w:type="paragraph" w:styleId="Subtitle">
    <w:name w:val="Subtitle"/>
    <w:link w:val="SubtitleChar"/>
    <w:uiPriority w:val="11"/>
    <w:qFormat/>
    <w:pPr>
      <w:numPr>
        <w:ilvl w:val="1"/>
      </w:numPr>
    </w:pPr>
    <w:rPr>
      <w:color w:val="5A5A5A" w:themeColor="text1" w:themeTint="A5"/>
      <w:spacing w:val="15"/>
    </w:rPr>
  </w:style>
  <w:style w:type="character" w:customStyle="1" w:styleId="SubtitleChar">
    <w:name w:val="Subtitle Char"/>
    <w:link w:val="Subtitle"/>
    <w:uiPriority w:val="11"/>
    <w:rPr>
      <w:color w:val="5A5A5A" w:themeColor="text1" w:themeTint="A5"/>
      <w:spacing w:val="15"/>
    </w:rPr>
  </w:style>
  <w:style w:type="character" w:customStyle="1" w:styleId="Heading1Char">
    <w:name w:val="Heading 1 Char"/>
    <w:link w:val="Heading1"/>
    <w:uiPriority w:val="9"/>
    <w:rPr>
      <w:color w:val="0F4761" w:themeColor="accent1" w:themeShade="BF"/>
      <w:sz w:val="32"/>
      <w:szCs w:val="32"/>
    </w:rPr>
  </w:style>
  <w:style w:type="character" w:customStyle="1" w:styleId="Heading2Char">
    <w:name w:val="Heading 2 Char"/>
    <w:link w:val="Heading2"/>
    <w:uiPriority w:val="9"/>
    <w:rPr>
      <w:color w:val="0F4761" w:themeColor="accent1" w:themeShade="BF"/>
      <w:sz w:val="26"/>
      <w:szCs w:val="26"/>
    </w:rPr>
  </w:style>
  <w:style w:type="character" w:customStyle="1" w:styleId="Heading3Char">
    <w:name w:val="Heading 3 Char"/>
    <w:link w:val="Heading3"/>
    <w:uiPriority w:val="9"/>
    <w:rPr>
      <w:color w:val="0A2F40" w:themeColor="accent1" w:themeShade="7F"/>
      <w:sz w:val="24"/>
      <w:szCs w:val="24"/>
    </w:rPr>
  </w:style>
  <w:style w:type="paragraph" w:customStyle="1" w:styleId="FootnoteText1">
    <w:name w:val="Footnote Text1"/>
    <w:uiPriority w:val="60"/>
    <w:pPr>
      <w:tabs>
        <w:tab w:val="left" w:pos="0"/>
      </w:tabs>
      <w:spacing w:line="240" w:lineRule="auto"/>
      <w:ind w:left="220" w:hanging="220"/>
    </w:pPr>
    <w:rPr>
      <w:sz w:val="18"/>
      <w:szCs w:val="18"/>
    </w:rPr>
  </w:style>
  <w:style w:type="paragraph" w:styleId="FootnoteText">
    <w:name w:val="footnote text"/>
    <w:link w:val="FootnoteTextChar"/>
    <w:uiPriority w:val="99"/>
    <w:semiHidden/>
    <w:unhideWhenUsed/>
    <w:pPr>
      <w:spacing w:after="0" w:line="240" w:lineRule="auto"/>
    </w:pPr>
    <w:rPr>
      <w:color w:val="7F7F7F" w:themeColor="text1" w:themeTint="80"/>
      <w:sz w:val="18"/>
      <w:szCs w:val="18"/>
    </w:rPr>
  </w:style>
  <w:style w:type="paragraph" w:customStyle="1" w:styleId="a">
    <w:pPr>
      <w:jc w:val="center"/>
    </w:pPr>
    <w:rPr>
      <w:color w:val="222222"/>
      <w:sz w:val="38"/>
      <w:szCs w:val="38"/>
    </w:rPr>
  </w:style>
  <w:style w:type="paragraph" w:customStyle="1" w:styleId="a0">
    <w:pPr>
      <w:jc w:val="center"/>
    </w:pPr>
    <w:rPr>
      <w:color w:val="222222"/>
      <w:sz w:val="18"/>
      <w:szCs w:val="18"/>
    </w:rPr>
  </w:style>
  <w:style w:type="paragraph" w:customStyle="1" w:styleId="a1">
    <w:pPr>
      <w:spacing w:after="1000" w:line="240" w:lineRule="auto"/>
    </w:pPr>
    <w:rPr>
      <w:b/>
    </w:rPr>
  </w:style>
  <w:style w:type="paragraph" w:customStyle="1" w:styleId="a2">
    <w:uiPriority w:val="99"/>
    <w:pPr>
      <w:jc w:val="center"/>
    </w:pPr>
  </w:style>
  <w:style w:type="paragraph" w:customStyle="1" w:styleId="a3">
    <w:uiPriority w:val="99"/>
    <w:pPr>
      <w:jc w:val="right"/>
    </w:pPr>
  </w:style>
  <w:style w:type="paragraph" w:customStyle="1" w:styleId="a4">
    <w:uiPriority w:val="99"/>
    <w:rPr>
      <w:color w:val="FF0000"/>
    </w:rPr>
  </w:style>
  <w:style w:type="paragraph" w:customStyle="1" w:styleId="a5">
    <w:rPr>
      <w:u w:val="single"/>
    </w:rPr>
  </w:style>
  <w:style w:type="character" w:customStyle="1" w:styleId="FootnoteTextChar">
    <w:name w:val="Footnote Text Char"/>
    <w:link w:val="FootnoteText"/>
    <w:uiPriority w:val="99"/>
    <w:semiHidden/>
    <w:rPr>
      <w:sz w:val="18"/>
      <w:szCs w:val="18"/>
    </w:rPr>
  </w:style>
  <w:style w:type="character" w:styleId="FootnoteReference">
    <w:name w:val="footnote reference"/>
    <w:uiPriority w:val="99"/>
    <w:semiHidden/>
    <w:unhideWhenUsed/>
    <w:rPr>
      <w:vertAlign w:val="superscript"/>
    </w:rPr>
  </w:style>
  <w:style w:type="paragraph" w:styleId="Header">
    <w:name w:val="header"/>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style>
  <w:style w:type="paragraph" w:styleId="Footer">
    <w:name w:val="footer"/>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style>
  <w:style w:type="paragraph" w:styleId="ListParagraph">
    <w:name w:val="List Paragraph"/>
    <w:uiPriority w:val="34"/>
    <w:qFormat/>
    <w:pPr>
      <w:spacing w:after="240"/>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467886" w:themeColor="hyperlink"/>
      <w:u w:val="single"/>
    </w:rPr>
  </w:style>
  <w:style w:type="character" w:customStyle="1" w:styleId="SpanSerifHeading-1">
    <w:name w:val="SpanSerifHeading-1"/>
    <w:rPr>
      <w:color w:val="222222"/>
      <w:sz w:val="38"/>
      <w:szCs w:val="38"/>
    </w:rPr>
  </w:style>
  <w:style w:type="paragraph" w:customStyle="1" w:styleId="TextBodyBold">
    <w:name w:val="TextBodyBold"/>
    <w:qFormat/>
    <w:rPr>
      <w:b/>
    </w:rPr>
  </w:style>
  <w:style w:type="paragraph" w:customStyle="1" w:styleId="Rline">
    <w:name w:val="Rline"/>
    <w:qFormat/>
    <w:pPr>
      <w:tabs>
        <w:tab w:val="left" w:pos="7800"/>
      </w:tabs>
      <w:spacing w:after="140" w:line="288" w:lineRule="auto"/>
      <w:ind w:left="6803"/>
    </w:pPr>
  </w:style>
  <w:style w:type="paragraph" w:customStyle="1" w:styleId="MemoLine">
    <w:name w:val="MemoLine"/>
    <w:qFormat/>
    <w:pPr>
      <w:tabs>
        <w:tab w:val="left" w:pos="2134"/>
        <w:tab w:val="left" w:pos="4514"/>
      </w:tabs>
      <w:spacing w:line="240" w:lineRule="auto"/>
    </w:pPr>
  </w:style>
  <w:style w:type="paragraph" w:customStyle="1" w:styleId="NSCaption">
    <w:name w:val="NSCaption"/>
    <w:qFormat/>
    <w:pPr>
      <w:spacing w:before="120" w:after="0" w:line="240" w:lineRule="auto"/>
    </w:pPr>
    <w:rPr>
      <w:sz w:val="20"/>
    </w:rPr>
  </w:style>
  <w:style w:type="paragraph" w:customStyle="1" w:styleId="NSText">
    <w:name w:val="NSText"/>
    <w:qFormat/>
    <w:rPr>
      <w:sz w:val="20"/>
    </w:rPr>
  </w:style>
  <w:style w:type="paragraph" w:customStyle="1" w:styleId="NSEntry">
    <w:name w:val="NSEntry"/>
    <w:qFormat/>
  </w:style>
  <w:style w:type="paragraph" w:customStyle="1" w:styleId="Hanging1">
    <w:name w:val="Hanging 1"/>
    <w:qFormat/>
    <w:pPr>
      <w:tabs>
        <w:tab w:val="left" w:pos="720"/>
      </w:tabs>
      <w:ind w:left="720" w:hanging="360"/>
    </w:pPr>
  </w:style>
  <w:style w:type="paragraph" w:customStyle="1" w:styleId="Hanging2">
    <w:name w:val="Hanging 2"/>
    <w:qFormat/>
    <w:pPr>
      <w:tabs>
        <w:tab w:val="left" w:pos="1440"/>
      </w:tabs>
      <w:ind w:left="1440" w:hanging="360"/>
      <w:contextualSpacing/>
    </w:pPr>
  </w:style>
  <w:style w:type="paragraph" w:customStyle="1" w:styleId="Hanging3">
    <w:name w:val="Hanging 3"/>
    <w:qFormat/>
    <w:pPr>
      <w:tabs>
        <w:tab w:val="left" w:pos="2160"/>
      </w:tabs>
      <w:ind w:left="2160" w:hanging="360"/>
      <w:contextualSpacing/>
    </w:pPr>
  </w:style>
  <w:style w:type="table" w:styleId="PlainTable5">
    <w:name w:val="Plain Table 5"/>
    <w:basedOn w:val="TableNormal"/>
    <w:uiPriority w:val="45"/>
    <w:rsid w:val="00251706"/>
    <w:pPr>
      <w:spacing w:after="0" w:line="240" w:lineRule="auto"/>
    </w:pPr>
    <w:tblPr>
      <w:tblStyleRowBandSize w:val="1"/>
      <w:tblStyleColBandSize w:val="1"/>
    </w:tblPr>
    <w:tblStylePr w:type="firstRow">
      <w:rPr>
        <w:i/>
        <w:iCs/>
        <w:sz w:val="26"/>
      </w:rPr>
      <w:tblPr/>
      <w:tcPr>
        <w:tcBorders>
          <w:bottom w:val="single" w:sz="4" w:space="0" w:color="7F7F7F" w:themeColor="text1" w:themeTint="80"/>
        </w:tcBorders>
        <w:shd w:val="clear" w:color="auto" w:fill="FFFFFF" w:themeFill="background1"/>
      </w:tcPr>
    </w:tblStylePr>
    <w:tblStylePr w:type="lastRow">
      <w:rPr>
        <w:i/>
        <w:iCs/>
        <w:sz w:val="26"/>
      </w:rPr>
      <w:tblPr/>
      <w:tcPr>
        <w:tcBorders>
          <w:top w:val="single" w:sz="4" w:space="0" w:color="7F7F7F" w:themeColor="text1" w:themeTint="80"/>
        </w:tcBorders>
        <w:shd w:val="clear" w:color="auto" w:fill="FFFFFF" w:themeFill="background1"/>
      </w:tcPr>
    </w:tblStylePr>
    <w:tblStylePr w:type="firstCol">
      <w:pPr>
        <w:jc w:val="right"/>
      </w:pPr>
      <w:rPr>
        <w:i/>
        <w:iCs/>
        <w:sz w:val="26"/>
      </w:rPr>
      <w:tblPr/>
      <w:tcPr>
        <w:tcBorders>
          <w:right w:val="single" w:sz="4" w:space="0" w:color="7F7F7F" w:themeColor="text1" w:themeTint="80"/>
        </w:tcBorders>
        <w:shd w:val="clear" w:color="auto" w:fill="FFFFFF" w:themeFill="background1"/>
      </w:tcPr>
    </w:tblStylePr>
    <w:tblStylePr w:type="lastCol">
      <w:rPr>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25170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link w:val="BalloonTextChar"/>
    <w:uiPriority w:val="99"/>
    <w:semiHidden/>
    <w:unhideWhenUsed/>
    <w:rsid w:val="00251706"/>
    <w:pPr>
      <w:spacing w:after="0" w:line="240" w:lineRule="auto"/>
    </w:pPr>
    <w:rPr>
      <w:sz w:val="18"/>
      <w:szCs w:val="18"/>
    </w:rPr>
  </w:style>
  <w:style w:type="character" w:customStyle="1" w:styleId="BalloonTextChar">
    <w:name w:val="Balloon Text Char"/>
    <w:link w:val="BalloonText"/>
    <w:uiPriority w:val="99"/>
    <w:semiHidden/>
    <w:rsid w:val="00251706"/>
    <w:rPr>
      <w:sz w:val="18"/>
      <w:szCs w:val="18"/>
    </w:rPr>
  </w:style>
  <w:style w:type="paragraph" w:styleId="NoSpacing">
    <w:name w:val="No Spacing"/>
    <w:uiPriority w:val="1"/>
    <w:qFormat/>
    <w:rsid w:val="00251706"/>
    <w:pPr>
      <w:spacing w:after="0" w:line="240" w:lineRule="auto"/>
    </w:pPr>
  </w:style>
  <w:style w:type="table" w:styleId="PlainTable4">
    <w:name w:val="Plain Table 4"/>
    <w:basedOn w:val="TableNormal"/>
    <w:uiPriority w:val="44"/>
    <w:rsid w:val="00D60D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738</Words>
  <Characters>4207</Characters>
  <Application>Microsoft Office Word</Application>
  <DocSecurity>0</DocSecurity>
  <Lines>35</Lines>
  <Paragraphs>9</Paragraphs>
  <ScaleCrop>false</ScaleCrop>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Aora Law</dc:creator>
  <dc:description>Nationality Report</dc:description>
  <cp:lastModifiedBy>Rob Love</cp:lastModifiedBy>
  <cp:revision>3</cp:revision>
  <dcterms:created xsi:type="dcterms:W3CDTF">2017-01-06T11:27:00Z</dcterms:created>
  <dcterms:modified xsi:type="dcterms:W3CDTF">2025-06-24T17:12:00Z</dcterms:modified>
  <dc:language>en-GB</dc:language>
</cp:coreProperties>
</file>